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2D" w:rsidRPr="005924F6" w:rsidRDefault="00EA5D2D" w:rsidP="00FA6F28">
      <w:pPr>
        <w:pStyle w:val="Texto"/>
        <w:spacing w:after="0" w:line="240" w:lineRule="exact"/>
        <w:ind w:firstLine="0"/>
        <w:jc w:val="center"/>
        <w:rPr>
          <w:b/>
          <w:sz w:val="20"/>
          <w:lang w:val="es-MX"/>
        </w:rPr>
      </w:pPr>
      <w:bookmarkStart w:id="0" w:name="_GoBack"/>
      <w:bookmarkEnd w:id="0"/>
      <w:r w:rsidRPr="005924F6">
        <w:rPr>
          <w:b/>
          <w:sz w:val="20"/>
          <w:lang w:val="es-MX"/>
        </w:rPr>
        <w:t>c) NOTAS DE GESTIÓN ADMINISTRATIVA</w:t>
      </w:r>
    </w:p>
    <w:p w:rsidR="00745B79" w:rsidRDefault="00745B79" w:rsidP="001423F1">
      <w:pPr>
        <w:jc w:val="center"/>
        <w:rPr>
          <w:rFonts w:ascii="Arial" w:hAnsi="Arial" w:cs="Arial"/>
          <w:sz w:val="20"/>
          <w:szCs w:val="20"/>
        </w:rPr>
      </w:pPr>
    </w:p>
    <w:p w:rsidR="00EA5D2D" w:rsidRPr="0005478B" w:rsidRDefault="00EA5D2D" w:rsidP="00EA5D2D">
      <w:pPr>
        <w:pStyle w:val="Texto"/>
        <w:numPr>
          <w:ilvl w:val="0"/>
          <w:numId w:val="20"/>
        </w:numPr>
        <w:spacing w:after="0" w:line="240" w:lineRule="exact"/>
        <w:rPr>
          <w:b/>
          <w:sz w:val="20"/>
          <w:lang w:val="es-MX"/>
        </w:rPr>
      </w:pPr>
      <w:r w:rsidRPr="0005478B">
        <w:rPr>
          <w:b/>
          <w:sz w:val="20"/>
          <w:lang w:val="es-MX"/>
        </w:rPr>
        <w:t>Introducción:</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Los artículos 26 y 27 de la Ley del Sistema Estatal Anticorrupción de Guanajuato disponen la creación de un organismo descentralizado, no sectorizado, con personalidad jurídica y patrimonio propio, con autonomía técnica y de gestión, denominado Secretaría Ejecutiva del Sistema Estatal Anticorrupción. El cual tiene por objeto fungir como órgano de apoyo técnico del Comité Coordinador del Sistema Estatal</w:t>
      </w:r>
    </w:p>
    <w:p w:rsidR="00EA5D2D" w:rsidRPr="0005478B" w:rsidRDefault="00EA5D2D" w:rsidP="00EA5D2D">
      <w:pPr>
        <w:pStyle w:val="Prrafodelista"/>
        <w:jc w:val="both"/>
        <w:rPr>
          <w:rFonts w:ascii="Arial" w:hAnsi="Arial" w:cs="Arial"/>
          <w:sz w:val="20"/>
          <w:szCs w:val="20"/>
        </w:rPr>
      </w:pPr>
    </w:p>
    <w:p w:rsidR="00EA5D2D" w:rsidRPr="000B26E3" w:rsidRDefault="00EA5D2D" w:rsidP="00EA5D2D">
      <w:pPr>
        <w:pStyle w:val="Prrafodelista"/>
        <w:widowControl w:val="0"/>
        <w:numPr>
          <w:ilvl w:val="0"/>
          <w:numId w:val="20"/>
        </w:numPr>
        <w:jc w:val="both"/>
        <w:rPr>
          <w:rFonts w:ascii="Arial" w:hAnsi="Arial" w:cs="Arial"/>
          <w:b/>
          <w:sz w:val="20"/>
          <w:szCs w:val="20"/>
        </w:rPr>
      </w:pPr>
      <w:r w:rsidRPr="000B26E3">
        <w:rPr>
          <w:rFonts w:ascii="Arial" w:hAnsi="Arial" w:cs="Arial"/>
          <w:b/>
          <w:sz w:val="20"/>
          <w:szCs w:val="20"/>
        </w:rPr>
        <w:t>Describir el panorama Económico y Financiero:</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Esta respuesta se da en el Tomo de Cuenta Pública que entrega el Ejecutivo.</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Autorización e Historia:</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Fecha de creación del ente.</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16  de mayo de 2017.</w:t>
      </w:r>
    </w:p>
    <w:p w:rsidR="00EA5D2D" w:rsidRPr="0005478B" w:rsidRDefault="00EA5D2D" w:rsidP="00EA5D2D">
      <w:pPr>
        <w:pStyle w:val="Prrafodelista"/>
        <w:ind w:left="1080"/>
        <w:jc w:val="both"/>
        <w:rPr>
          <w:rFonts w:ascii="Arial" w:hAnsi="Arial" w:cs="Arial"/>
          <w:sz w:val="20"/>
          <w:szCs w:val="20"/>
        </w:rPr>
      </w:pPr>
    </w:p>
    <w:p w:rsidR="00EA5D2D" w:rsidRDefault="00EA5D2D" w:rsidP="00EA5D2D">
      <w:pPr>
        <w:pStyle w:val="Prrafodelista"/>
        <w:widowControl w:val="0"/>
        <w:numPr>
          <w:ilvl w:val="0"/>
          <w:numId w:val="9"/>
        </w:numPr>
        <w:jc w:val="both"/>
        <w:rPr>
          <w:rFonts w:ascii="Arial" w:hAnsi="Arial" w:cs="Arial"/>
          <w:sz w:val="20"/>
          <w:szCs w:val="20"/>
        </w:rPr>
      </w:pPr>
      <w:r w:rsidRPr="0005478B">
        <w:rPr>
          <w:rFonts w:ascii="Arial" w:hAnsi="Arial" w:cs="Arial"/>
          <w:sz w:val="20"/>
          <w:szCs w:val="20"/>
        </w:rPr>
        <w:t>Principales cambios en su estructura (interna históricamente).</w:t>
      </w:r>
    </w:p>
    <w:p w:rsidR="00EA5D2D" w:rsidRDefault="00EA5D2D" w:rsidP="00EA5D2D">
      <w:pPr>
        <w:pStyle w:val="Prrafodelista"/>
        <w:widowControl w:val="0"/>
        <w:ind w:left="1080"/>
        <w:jc w:val="both"/>
        <w:rPr>
          <w:rFonts w:ascii="Arial" w:hAnsi="Arial" w:cs="Arial"/>
          <w:sz w:val="20"/>
          <w:szCs w:val="20"/>
        </w:rPr>
      </w:pPr>
    </w:p>
    <w:p w:rsidR="00EA5D2D" w:rsidRPr="00231637" w:rsidRDefault="00EA5D2D" w:rsidP="00EA5D2D">
      <w:pPr>
        <w:pStyle w:val="Prrafodelista"/>
        <w:widowControl w:val="0"/>
        <w:ind w:left="1080"/>
        <w:jc w:val="both"/>
        <w:rPr>
          <w:rFonts w:ascii="Arial" w:hAnsi="Arial" w:cs="Arial"/>
          <w:sz w:val="20"/>
          <w:szCs w:val="20"/>
        </w:rPr>
      </w:pPr>
      <w:r w:rsidRPr="00231637">
        <w:rPr>
          <w:rFonts w:ascii="Arial" w:hAnsi="Arial" w:cs="Arial"/>
          <w:sz w:val="20"/>
          <w:szCs w:val="20"/>
        </w:rPr>
        <w:t>El Estatuto Orgánico de la Secretaría Ejecutiva prevé su estructura de la siguiente manera:</w:t>
      </w:r>
    </w:p>
    <w:p w:rsidR="00EA5D2D" w:rsidRDefault="00EA5D2D" w:rsidP="00EA5D2D">
      <w:pPr>
        <w:pStyle w:val="Sinespaciado"/>
        <w:numPr>
          <w:ilvl w:val="0"/>
          <w:numId w:val="22"/>
        </w:num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D6C81">
        <w:rPr>
          <w:rFonts w:ascii="Arial" w:eastAsia="Times New Roman" w:hAnsi="Arial" w:cs="Arial"/>
          <w:sz w:val="20"/>
          <w:szCs w:val="20"/>
          <w:lang w:val="es-ES" w:eastAsia="es-ES"/>
        </w:rPr>
        <w:t>Secretaría Técnica;</w:t>
      </w:r>
    </w:p>
    <w:p w:rsidR="00EA5D2D" w:rsidRDefault="00EA5D2D" w:rsidP="00EA5D2D">
      <w:pPr>
        <w:pStyle w:val="Sinespaciado"/>
        <w:numPr>
          <w:ilvl w:val="0"/>
          <w:numId w:val="22"/>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Direcciones</w:t>
      </w:r>
      <w:r w:rsidRPr="00231637">
        <w:rPr>
          <w:rFonts w:ascii="Arial" w:eastAsia="Times New Roman" w:hAnsi="Arial" w:cs="Arial"/>
          <w:sz w:val="20"/>
          <w:szCs w:val="20"/>
          <w:lang w:val="es-ES" w:eastAsia="es-ES"/>
        </w:rPr>
        <w:br/>
        <w:t>a) De Vinculación, Riesgos y Políticas Públicas;</w:t>
      </w:r>
      <w:r w:rsidRPr="00231637">
        <w:rPr>
          <w:rFonts w:ascii="Arial" w:eastAsia="Times New Roman" w:hAnsi="Arial" w:cs="Arial"/>
          <w:sz w:val="20"/>
          <w:szCs w:val="20"/>
          <w:lang w:val="es-ES" w:eastAsia="es-ES"/>
        </w:rPr>
        <w:br/>
        <w:t>b) De Gestión e Innovación Tecnológica;</w:t>
      </w:r>
    </w:p>
    <w:p w:rsidR="00EA5D2D" w:rsidRDefault="00EA5D2D" w:rsidP="00EA5D2D">
      <w:pPr>
        <w:pStyle w:val="Sinespaciado"/>
        <w:numPr>
          <w:ilvl w:val="0"/>
          <w:numId w:val="22"/>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Coordinaciones</w:t>
      </w:r>
      <w:r w:rsidRPr="00231637">
        <w:rPr>
          <w:rFonts w:ascii="Arial" w:eastAsia="Times New Roman" w:hAnsi="Arial" w:cs="Arial"/>
          <w:sz w:val="20"/>
          <w:szCs w:val="20"/>
          <w:lang w:val="es-ES" w:eastAsia="es-ES"/>
        </w:rPr>
        <w:br/>
        <w:t>a) Administrativa;</w:t>
      </w:r>
      <w:r w:rsidRPr="00231637">
        <w:rPr>
          <w:rFonts w:ascii="Arial" w:eastAsia="Times New Roman" w:hAnsi="Arial" w:cs="Arial"/>
          <w:sz w:val="20"/>
          <w:szCs w:val="20"/>
          <w:lang w:val="es-ES" w:eastAsia="es-ES"/>
        </w:rPr>
        <w:br/>
        <w:t>b) Asuntos Jurídicos.</w:t>
      </w:r>
      <w:r w:rsidRPr="00231637">
        <w:rPr>
          <w:rFonts w:ascii="Arial" w:eastAsia="Times New Roman" w:hAnsi="Arial" w:cs="Arial"/>
          <w:sz w:val="20"/>
          <w:szCs w:val="20"/>
          <w:lang w:val="es-ES" w:eastAsia="es-ES"/>
        </w:rPr>
        <w:br/>
        <w:t>b.1) Unidad de Transparencia y Acceso a la Información</w:t>
      </w:r>
      <w:r w:rsidRPr="00231637">
        <w:rPr>
          <w:rFonts w:ascii="Arial" w:eastAsia="Times New Roman" w:hAnsi="Arial" w:cs="Arial"/>
          <w:sz w:val="20"/>
          <w:szCs w:val="20"/>
          <w:lang w:val="es-ES" w:eastAsia="es-ES"/>
        </w:rPr>
        <w:br/>
        <w:t>c) De Planeación.</w:t>
      </w:r>
    </w:p>
    <w:p w:rsidR="00EA5D2D" w:rsidRPr="00231637" w:rsidRDefault="00EA5D2D" w:rsidP="00EA5D2D">
      <w:pPr>
        <w:pStyle w:val="Sinespaciado"/>
        <w:numPr>
          <w:ilvl w:val="0"/>
          <w:numId w:val="22"/>
        </w:numPr>
        <w:rPr>
          <w:rFonts w:ascii="Arial" w:eastAsia="Times New Roman" w:hAnsi="Arial" w:cs="Arial"/>
          <w:sz w:val="20"/>
          <w:szCs w:val="20"/>
          <w:lang w:val="es-ES" w:eastAsia="es-ES"/>
        </w:rPr>
      </w:pPr>
      <w:r w:rsidRPr="00231637">
        <w:rPr>
          <w:rFonts w:ascii="Arial" w:eastAsia="Times New Roman" w:hAnsi="Arial" w:cs="Arial"/>
          <w:sz w:val="20"/>
          <w:szCs w:val="20"/>
          <w:lang w:val="es-ES" w:eastAsia="es-ES"/>
        </w:rPr>
        <w:t>Órgano Interno de Control</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Organización y Objeto Social:</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Objeto social.</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lastRenderedPageBreak/>
        <w:t>El Sistema Estatal Anticorrupción, tiene la atribución de identificar, prevenir, investigar y sancionar los hechos de corrupción y faltas administrativas.</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Principal actividad.</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La Secretaría Ejecutiva del Sistema Estatal Anticorrupción, provee de insumos y da soporte técnico al Comité Coordinador.</w:t>
      </w:r>
    </w:p>
    <w:p w:rsidR="00EA5D2D" w:rsidRPr="0005478B" w:rsidRDefault="00EA5D2D" w:rsidP="00EA5D2D">
      <w:pPr>
        <w:jc w:val="both"/>
        <w:rPr>
          <w:rFonts w:ascii="Arial" w:hAnsi="Arial" w:cs="Arial"/>
          <w:sz w:val="20"/>
          <w:szCs w:val="20"/>
        </w:rPr>
      </w:pPr>
    </w:p>
    <w:p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Ejercicio fiscal</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01 de Enero al</w:t>
      </w:r>
      <w:r>
        <w:rPr>
          <w:rFonts w:ascii="Arial" w:hAnsi="Arial" w:cs="Arial"/>
          <w:sz w:val="20"/>
          <w:szCs w:val="20"/>
        </w:rPr>
        <w:t xml:space="preserve"> 31</w:t>
      </w:r>
      <w:r w:rsidRPr="0005478B">
        <w:rPr>
          <w:rFonts w:ascii="Arial" w:hAnsi="Arial" w:cs="Arial"/>
          <w:sz w:val="20"/>
          <w:szCs w:val="20"/>
        </w:rPr>
        <w:t xml:space="preserve"> de </w:t>
      </w:r>
      <w:r w:rsidR="00E11110">
        <w:rPr>
          <w:rFonts w:ascii="Arial" w:hAnsi="Arial" w:cs="Arial"/>
          <w:sz w:val="20"/>
          <w:szCs w:val="20"/>
        </w:rPr>
        <w:t xml:space="preserve">Marzo </w:t>
      </w:r>
      <w:r w:rsidRPr="0005478B">
        <w:rPr>
          <w:rFonts w:ascii="Arial" w:hAnsi="Arial" w:cs="Arial"/>
          <w:sz w:val="20"/>
          <w:szCs w:val="20"/>
        </w:rPr>
        <w:t>de 202</w:t>
      </w:r>
      <w:r w:rsidR="00E11110">
        <w:rPr>
          <w:rFonts w:ascii="Arial" w:hAnsi="Arial" w:cs="Arial"/>
          <w:sz w:val="20"/>
          <w:szCs w:val="20"/>
        </w:rPr>
        <w:t>1</w:t>
      </w:r>
      <w:r w:rsidRPr="0005478B">
        <w:rPr>
          <w:rFonts w:ascii="Arial" w:hAnsi="Arial" w:cs="Arial"/>
          <w:sz w:val="20"/>
          <w:szCs w:val="20"/>
        </w:rPr>
        <w:t>.</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Régimen jurídico</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Personas morales con fines no lucrativos.</w:t>
      </w:r>
    </w:p>
    <w:p w:rsidR="00EA5D2D" w:rsidRPr="0005478B" w:rsidRDefault="00EA5D2D" w:rsidP="00EA5D2D">
      <w:pPr>
        <w:pStyle w:val="Prrafodelista"/>
        <w:ind w:left="1080"/>
        <w:jc w:val="both"/>
        <w:rPr>
          <w:rFonts w:ascii="Arial" w:hAnsi="Arial" w:cs="Arial"/>
          <w:sz w:val="20"/>
          <w:szCs w:val="20"/>
        </w:rPr>
      </w:pPr>
    </w:p>
    <w:p w:rsidR="00EA5D2D"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Consideraciones fiscales del ente</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 retenciones del Impuesto Sobre la Renta (ISR) por sueldos y salarios.</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ISR donde se informe sobre los pagos y retenciones de servicios profesionales.</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y pago provisional mensual del ISR por las retenciones realizadas por servicios profesionales.</w:t>
      </w:r>
    </w:p>
    <w:p w:rsidR="00E11110" w:rsidRPr="00E11110"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informativa de operaciones con terceros</w:t>
      </w:r>
    </w:p>
    <w:p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anual del ISR donde se informe sobre los pagos y retenciones </w:t>
      </w:r>
      <w:r>
        <w:rPr>
          <w:rFonts w:ascii="Arial" w:hAnsi="Arial" w:cs="Arial"/>
          <w:color w:val="000000"/>
          <w:sz w:val="20"/>
        </w:rPr>
        <w:t>de arrendamiento de inmuebles</w:t>
      </w:r>
      <w:r w:rsidRPr="00F047F2">
        <w:rPr>
          <w:rFonts w:ascii="Arial" w:hAnsi="Arial" w:cs="Arial"/>
          <w:color w:val="000000"/>
          <w:sz w:val="20"/>
        </w:rPr>
        <w:t>.</w:t>
      </w:r>
    </w:p>
    <w:p w:rsidR="00E11110" w:rsidRPr="00F047F2" w:rsidRDefault="00E11110" w:rsidP="00E11110">
      <w:pPr>
        <w:pStyle w:val="Prrafodelista"/>
        <w:numPr>
          <w:ilvl w:val="0"/>
          <w:numId w:val="21"/>
        </w:numPr>
        <w:jc w:val="both"/>
        <w:rPr>
          <w:rFonts w:ascii="Arial" w:hAnsi="Arial" w:cs="Arial"/>
          <w:sz w:val="20"/>
          <w:szCs w:val="20"/>
        </w:rPr>
      </w:pPr>
      <w:r w:rsidRPr="00F047F2">
        <w:rPr>
          <w:rFonts w:ascii="Arial" w:hAnsi="Arial" w:cs="Arial"/>
          <w:color w:val="000000"/>
          <w:sz w:val="20"/>
        </w:rPr>
        <w:t xml:space="preserve">Presentar la declaración y pago provisional mensual del ISR por las retenciones </w:t>
      </w:r>
      <w:r>
        <w:rPr>
          <w:rFonts w:ascii="Arial" w:hAnsi="Arial" w:cs="Arial"/>
          <w:color w:val="000000"/>
          <w:sz w:val="20"/>
        </w:rPr>
        <w:t>de arrendamiento de inmuebles.</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sobre nómina.</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la declaración anual del impuesto sobre nómina.</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servicios profesionales.</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servicios profesionales.</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y pago provisional mensual del impuesto cedular por las retenciones realizadas por arrendamiento de inmuebles.</w:t>
      </w:r>
    </w:p>
    <w:p w:rsidR="00EA5D2D" w:rsidRPr="00F047F2" w:rsidRDefault="00EA5D2D" w:rsidP="00EA5D2D">
      <w:pPr>
        <w:pStyle w:val="Prrafodelista"/>
        <w:numPr>
          <w:ilvl w:val="0"/>
          <w:numId w:val="21"/>
        </w:numPr>
        <w:jc w:val="both"/>
        <w:rPr>
          <w:rFonts w:ascii="Arial" w:hAnsi="Arial" w:cs="Arial"/>
          <w:sz w:val="20"/>
          <w:szCs w:val="20"/>
        </w:rPr>
      </w:pPr>
      <w:r w:rsidRPr="00F047F2">
        <w:rPr>
          <w:rFonts w:ascii="Arial" w:hAnsi="Arial" w:cs="Arial"/>
          <w:color w:val="000000"/>
          <w:sz w:val="20"/>
        </w:rPr>
        <w:t>Presentar declaración anual del impuesto cedular por las retenciones realizadas por arrendamiento de inmuebles.</w:t>
      </w:r>
    </w:p>
    <w:p w:rsidR="00EA5D2D" w:rsidRPr="00320EA3" w:rsidRDefault="00EA5D2D" w:rsidP="00EA5D2D">
      <w:pPr>
        <w:pStyle w:val="NormalWeb"/>
        <w:spacing w:before="0" w:beforeAutospacing="0" w:after="0" w:afterAutospacing="0" w:line="288" w:lineRule="auto"/>
        <w:ind w:left="720"/>
        <w:jc w:val="both"/>
        <w:textAlignment w:val="baseline"/>
        <w:rPr>
          <w:rFonts w:ascii="Noto Sans Symbols" w:hAnsi="Noto Sans Symbols"/>
          <w:color w:val="000000"/>
          <w:sz w:val="16"/>
          <w:szCs w:val="20"/>
        </w:rPr>
      </w:pP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Estructura organizacional básica.</w:t>
      </w: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Se anexa</w:t>
      </w:r>
      <w:r w:rsidRPr="00F047F2">
        <w:rPr>
          <w:rFonts w:ascii="Arial" w:hAnsi="Arial" w:cs="Arial"/>
          <w:sz w:val="20"/>
          <w:szCs w:val="20"/>
        </w:rPr>
        <w:t xml:space="preserve"> organigrama de la entidad.</w:t>
      </w: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r>
        <w:object w:dxaOrig="10801" w:dyaOrig="15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75pt;height:402.75pt" o:ole="">
            <v:imagedata r:id="rId8" o:title=""/>
          </v:shape>
          <o:OLEObject Type="Embed" ProgID="Visio.Drawing.15" ShapeID="_x0000_i1025" DrawAspect="Content" ObjectID="_1681200576" r:id="rId9"/>
        </w:object>
      </w: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0"/>
        </w:numPr>
        <w:jc w:val="both"/>
        <w:rPr>
          <w:rFonts w:ascii="Arial" w:hAnsi="Arial" w:cs="Arial"/>
          <w:sz w:val="20"/>
          <w:szCs w:val="20"/>
        </w:rPr>
      </w:pPr>
      <w:r w:rsidRPr="0005478B">
        <w:rPr>
          <w:rFonts w:ascii="Arial" w:hAnsi="Arial" w:cs="Arial"/>
          <w:sz w:val="20"/>
          <w:szCs w:val="20"/>
        </w:rPr>
        <w:t>Fideicomisos, mandatos y análogos de los cuales es fideicomitente o fideicomisario.</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Bases de Preparación de los Estados Financieros:</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sobre:</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Si se ha observado la normatividad emitida por el CONAC y las disposiciones legales aplicables.</w:t>
      </w:r>
    </w:p>
    <w:p w:rsidR="00EA5D2D" w:rsidRPr="0005478B" w:rsidRDefault="00EA5D2D" w:rsidP="00EA5D2D">
      <w:pPr>
        <w:pStyle w:val="Prrafodelista"/>
        <w:ind w:left="1080"/>
        <w:jc w:val="both"/>
        <w:rPr>
          <w:rFonts w:ascii="Arial" w:hAnsi="Arial" w:cs="Arial"/>
          <w:sz w:val="20"/>
          <w:szCs w:val="20"/>
        </w:rPr>
      </w:pPr>
    </w:p>
    <w:p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Los Estados Financieros se realizan en base y cumplimiento a la normatividad emitida por la Ley General de Contabilidad Gubernamental, las leyes aplicables en la materia y los lineamientos emitidos por el Consejo Nacional de Armonización Contable (CONAC).</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1"/>
        </w:numPr>
        <w:spacing w:line="312" w:lineRule="auto"/>
        <w:jc w:val="both"/>
        <w:rPr>
          <w:rFonts w:ascii="Arial" w:hAnsi="Arial" w:cs="Arial"/>
          <w:sz w:val="20"/>
          <w:szCs w:val="20"/>
        </w:rPr>
      </w:pPr>
      <w:r w:rsidRPr="0005478B">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A5D2D" w:rsidRDefault="00EA5D2D" w:rsidP="00EA5D2D">
      <w:pPr>
        <w:pStyle w:val="Prrafodelista"/>
        <w:spacing w:line="312" w:lineRule="auto"/>
        <w:ind w:left="1080"/>
        <w:jc w:val="both"/>
        <w:rPr>
          <w:rFonts w:ascii="Arial" w:hAnsi="Arial" w:cs="Arial"/>
          <w:sz w:val="20"/>
          <w:szCs w:val="20"/>
          <w:highlight w:val="yellow"/>
        </w:rPr>
      </w:pPr>
    </w:p>
    <w:p w:rsidR="00EA5D2D" w:rsidRPr="00F047F2" w:rsidRDefault="00EA5D2D" w:rsidP="00EA5D2D">
      <w:pPr>
        <w:pStyle w:val="Prrafodelista"/>
        <w:spacing w:line="312" w:lineRule="auto"/>
        <w:ind w:left="1080"/>
        <w:jc w:val="both"/>
        <w:rPr>
          <w:rFonts w:ascii="Arial" w:hAnsi="Arial" w:cs="Arial"/>
          <w:sz w:val="20"/>
          <w:szCs w:val="20"/>
        </w:rPr>
      </w:pPr>
      <w:r w:rsidRPr="00F047F2">
        <w:rPr>
          <w:rFonts w:ascii="Arial" w:hAnsi="Arial" w:cs="Arial"/>
          <w:sz w:val="20"/>
          <w:szCs w:val="20"/>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Postulados básicos.</w:t>
      </w:r>
    </w:p>
    <w:p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Para la elaboración de los estados financieros la Secretaria Ejecutiva ha aplicado lo postulados básicos establecidos por la LGCG y los lineamientos emitidos por el CONAC</w:t>
      </w:r>
      <w:r>
        <w:rPr>
          <w:rFonts w:ascii="Arial" w:hAnsi="Arial" w:cs="Arial"/>
          <w:sz w:val="20"/>
          <w:szCs w:val="20"/>
        </w:rPr>
        <w:t>.</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p>
    <w:p w:rsidR="00EA5D2D" w:rsidRPr="00F047F2" w:rsidRDefault="00EA5D2D" w:rsidP="00EA5D2D">
      <w:pPr>
        <w:pStyle w:val="Prrafodelista"/>
        <w:ind w:left="1080"/>
        <w:jc w:val="both"/>
        <w:rPr>
          <w:rFonts w:ascii="Arial" w:hAnsi="Arial" w:cs="Arial"/>
          <w:sz w:val="20"/>
          <w:szCs w:val="20"/>
        </w:rPr>
      </w:pPr>
      <w:r w:rsidRPr="00F047F2">
        <w:rPr>
          <w:rFonts w:ascii="Arial" w:hAnsi="Arial" w:cs="Arial"/>
          <w:sz w:val="20"/>
          <w:szCs w:val="20"/>
        </w:rPr>
        <w:t>La normatividad aplicada es la establecida en la LGCG en correlación con los lineamientos emitidos por el Consejo Nacional de Armonización Contable. Actualmente no se utiliza normatividad supletoria.</w:t>
      </w:r>
    </w:p>
    <w:p w:rsidR="00EA5D2D" w:rsidRPr="0005478B" w:rsidRDefault="00EA5D2D" w:rsidP="00EA5D2D">
      <w:pPr>
        <w:jc w:val="both"/>
        <w:rPr>
          <w:rFonts w:ascii="Arial" w:hAnsi="Arial" w:cs="Arial"/>
          <w:sz w:val="20"/>
          <w:szCs w:val="20"/>
        </w:rPr>
      </w:pPr>
    </w:p>
    <w:p w:rsidR="00EA5D2D" w:rsidRPr="0005478B" w:rsidRDefault="00EA5D2D" w:rsidP="00EA5D2D">
      <w:pPr>
        <w:jc w:val="both"/>
        <w:rPr>
          <w:rFonts w:ascii="Arial" w:hAnsi="Arial" w:cs="Arial"/>
          <w:sz w:val="20"/>
          <w:szCs w:val="20"/>
        </w:rPr>
      </w:pPr>
    </w:p>
    <w:p w:rsidR="00EA5D2D" w:rsidRPr="0005478B" w:rsidRDefault="00EA5D2D" w:rsidP="00EA5D2D">
      <w:pPr>
        <w:pStyle w:val="Prrafodelista"/>
        <w:widowControl w:val="0"/>
        <w:numPr>
          <w:ilvl w:val="0"/>
          <w:numId w:val="11"/>
        </w:numPr>
        <w:jc w:val="both"/>
        <w:rPr>
          <w:rFonts w:ascii="Arial" w:hAnsi="Arial" w:cs="Arial"/>
          <w:sz w:val="20"/>
          <w:szCs w:val="20"/>
        </w:rPr>
      </w:pPr>
      <w:r w:rsidRPr="0005478B">
        <w:rPr>
          <w:rFonts w:ascii="Arial" w:hAnsi="Arial" w:cs="Arial"/>
          <w:sz w:val="20"/>
          <w:szCs w:val="20"/>
        </w:rPr>
        <w:t>Para las entidades que por primera vez estén implementando la base devengado de acuerdo a la Ley de Contabilidad, deberán:</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las nuevas políticas de reconocimiento;</w:t>
      </w:r>
    </w:p>
    <w:p w:rsidR="00EA5D2D" w:rsidRPr="0005478B" w:rsidRDefault="00EA5D2D" w:rsidP="00EA5D2D">
      <w:pPr>
        <w:pStyle w:val="Texto"/>
        <w:spacing w:after="0" w:line="312" w:lineRule="auto"/>
        <w:ind w:left="1440" w:hanging="360"/>
        <w:rPr>
          <w:sz w:val="20"/>
        </w:rPr>
      </w:pPr>
      <w:r w:rsidRPr="0005478B">
        <w:rPr>
          <w:sz w:val="20"/>
        </w:rPr>
        <w:lastRenderedPageBreak/>
        <w:t>-</w:t>
      </w:r>
      <w:r w:rsidRPr="0005478B">
        <w:rPr>
          <w:sz w:val="20"/>
        </w:rPr>
        <w:tab/>
        <w:t>Su plan de implementación;</w:t>
      </w:r>
    </w:p>
    <w:p w:rsidR="00EA5D2D" w:rsidRPr="0005478B" w:rsidRDefault="00EA5D2D" w:rsidP="00EA5D2D">
      <w:pPr>
        <w:pStyle w:val="Texto"/>
        <w:spacing w:after="0" w:line="312" w:lineRule="auto"/>
        <w:ind w:left="1440" w:hanging="360"/>
        <w:rPr>
          <w:sz w:val="20"/>
        </w:rPr>
      </w:pPr>
      <w:r w:rsidRPr="0005478B">
        <w:rPr>
          <w:sz w:val="20"/>
        </w:rPr>
        <w:t>-</w:t>
      </w:r>
      <w:r w:rsidRPr="0005478B">
        <w:rPr>
          <w:sz w:val="20"/>
        </w:rPr>
        <w:tab/>
        <w:t>Revelar los cambios en las políticas, la clasificación y medición de las mismas, así como su impacto en la información financiera.</w:t>
      </w:r>
    </w:p>
    <w:p w:rsidR="00EA5D2D" w:rsidRDefault="00EA5D2D" w:rsidP="00EA5D2D">
      <w:pPr>
        <w:pStyle w:val="Texto"/>
        <w:spacing w:after="0" w:line="312" w:lineRule="auto"/>
        <w:ind w:left="1440" w:hanging="360"/>
        <w:rPr>
          <w:sz w:val="20"/>
        </w:rPr>
      </w:pPr>
      <w:r w:rsidRPr="0005478B">
        <w:rPr>
          <w:sz w:val="20"/>
        </w:rPr>
        <w:t>-</w:t>
      </w:r>
      <w:r w:rsidRPr="0005478B">
        <w:rPr>
          <w:sz w:val="20"/>
        </w:rPr>
        <w:tab/>
        <w:t>Presentar los últimos estados financieros con la normatividad anteriormente utilizada con las nuevas políticas para fines de comparación en la transición a la base del devengado.</w:t>
      </w:r>
    </w:p>
    <w:p w:rsidR="00EA5D2D" w:rsidRPr="0005478B" w:rsidRDefault="00EA5D2D" w:rsidP="00EA5D2D">
      <w:pPr>
        <w:pStyle w:val="Texto"/>
        <w:spacing w:after="0" w:line="312" w:lineRule="auto"/>
        <w:ind w:left="1440" w:hanging="360"/>
        <w:rPr>
          <w:sz w:val="20"/>
        </w:rPr>
      </w:pPr>
      <w:r>
        <w:rPr>
          <w:sz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Políticas de Contabilidad Significativas:</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ind w:left="1080"/>
        <w:jc w:val="both"/>
        <w:rPr>
          <w:rFonts w:ascii="Arial" w:hAnsi="Arial" w:cs="Arial"/>
          <w:sz w:val="20"/>
          <w:szCs w:val="20"/>
        </w:rPr>
      </w:pPr>
      <w:r w:rsidRPr="0005478B">
        <w:rPr>
          <w:rFonts w:ascii="Arial" w:hAnsi="Arial" w:cs="Arial"/>
          <w:sz w:val="20"/>
          <w:szCs w:val="20"/>
        </w:rPr>
        <w:t>Se informará sobre:</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p>
    <w:p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Informar sobre la realización de operaciones en el extranjero y de sus efectos en la información financiera gubernamental:</w:t>
      </w:r>
    </w:p>
    <w:p w:rsidR="00EA5D2D" w:rsidRPr="0005478B" w:rsidRDefault="00EA5D2D" w:rsidP="00EA5D2D">
      <w:pPr>
        <w:pStyle w:val="Prrafodelista"/>
        <w:ind w:left="1500"/>
        <w:jc w:val="both"/>
        <w:rPr>
          <w:rFonts w:ascii="Arial" w:hAnsi="Arial" w:cs="Arial"/>
          <w:sz w:val="20"/>
          <w:szCs w:val="20"/>
        </w:rPr>
      </w:pPr>
      <w:r w:rsidRPr="0005478B">
        <w:rPr>
          <w:rFonts w:ascii="Arial" w:hAnsi="Arial" w:cs="Arial"/>
          <w:sz w:val="20"/>
          <w:szCs w:val="20"/>
        </w:rPr>
        <w:t>N</w:t>
      </w:r>
      <w:r>
        <w:rPr>
          <w:rFonts w:ascii="Arial" w:hAnsi="Arial" w:cs="Arial"/>
          <w:sz w:val="20"/>
          <w:szCs w:val="20"/>
        </w:rPr>
        <w:t>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Método de valuación de la inversión en acciones de Compañías subsidiarias no consolidadas y asociadas:</w:t>
      </w:r>
    </w:p>
    <w:p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Sistema y método de valuación de inventarios y costo de lo vendido:</w:t>
      </w:r>
    </w:p>
    <w:p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Beneficios a empleados: revelar el cálculo de la reserva actuarial, valor presente de los ingresos esperados comparado con el valor presente de la estimación de gastos tanto de los beneficiarios actuales como futuros:</w:t>
      </w:r>
    </w:p>
    <w:p w:rsidR="00EA5D2D" w:rsidRPr="00B43B98"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Provisiones: objetivo de su creación, monto y plazo:</w:t>
      </w:r>
    </w:p>
    <w:p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Reservas: objetivo de su creación, monto y plazo:</w:t>
      </w:r>
    </w:p>
    <w:p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Reclasificaciones: Se deben revelar todos aquellos movimientos entre cuentas por efectos de cambios en los tipos de operaciones:</w:t>
      </w:r>
    </w:p>
    <w:p w:rsidR="00EA5D2D"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2"/>
        </w:numPr>
        <w:jc w:val="both"/>
        <w:rPr>
          <w:rFonts w:ascii="Arial" w:hAnsi="Arial" w:cs="Arial"/>
          <w:sz w:val="20"/>
          <w:szCs w:val="20"/>
        </w:rPr>
      </w:pPr>
      <w:r w:rsidRPr="0005478B">
        <w:rPr>
          <w:rFonts w:ascii="Arial" w:hAnsi="Arial" w:cs="Arial"/>
          <w:sz w:val="20"/>
          <w:szCs w:val="20"/>
        </w:rPr>
        <w:t>Depuración y cancelación de saldos:</w:t>
      </w:r>
    </w:p>
    <w:p w:rsidR="00EA5D2D" w:rsidRPr="0005478B" w:rsidRDefault="00EA5D2D" w:rsidP="00EA5D2D">
      <w:pPr>
        <w:pStyle w:val="Prrafodelista"/>
        <w:ind w:left="150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b/>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Posición en Moneda Extranjera y Protección por Riesgo Cambiario:</w:t>
      </w:r>
    </w:p>
    <w:p w:rsidR="00EA5D2D" w:rsidRPr="0005478B" w:rsidRDefault="00EA5D2D" w:rsidP="00EA5D2D">
      <w:pPr>
        <w:pStyle w:val="Prrafodelista"/>
        <w:jc w:val="both"/>
        <w:rPr>
          <w:rFonts w:ascii="Arial" w:hAnsi="Arial" w:cs="Arial"/>
          <w:b/>
          <w:sz w:val="20"/>
          <w:szCs w:val="20"/>
        </w:rPr>
      </w:pPr>
    </w:p>
    <w:p w:rsidR="00EA5D2D" w:rsidRPr="0005478B" w:rsidRDefault="00EA5D2D" w:rsidP="00EA5D2D">
      <w:pPr>
        <w:jc w:val="both"/>
        <w:rPr>
          <w:rFonts w:ascii="Arial" w:hAnsi="Arial" w:cs="Arial"/>
          <w:sz w:val="20"/>
          <w:szCs w:val="20"/>
        </w:rPr>
      </w:pPr>
      <w:r w:rsidRPr="0005478B">
        <w:rPr>
          <w:rFonts w:ascii="Arial" w:hAnsi="Arial" w:cs="Arial"/>
          <w:sz w:val="20"/>
          <w:szCs w:val="20"/>
        </w:rPr>
        <w:t xml:space="preserve">                     Se informará sobre:</w:t>
      </w:r>
    </w:p>
    <w:p w:rsidR="00EA5D2D" w:rsidRPr="0005478B" w:rsidRDefault="00EA5D2D" w:rsidP="00EA5D2D">
      <w:pPr>
        <w:pStyle w:val="Prrafodelista"/>
        <w:ind w:left="1500"/>
        <w:jc w:val="both"/>
        <w:rPr>
          <w:rFonts w:ascii="Arial" w:hAnsi="Arial" w:cs="Arial"/>
          <w:sz w:val="20"/>
          <w:szCs w:val="20"/>
        </w:rPr>
      </w:pPr>
    </w:p>
    <w:p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Activos en moneda extranjera</w:t>
      </w:r>
    </w:p>
    <w:p w:rsidR="00EA5D2D" w:rsidRPr="00B43B98" w:rsidRDefault="00EA5D2D" w:rsidP="00EA5D2D">
      <w:pPr>
        <w:pStyle w:val="Prrafodelista"/>
        <w:widowControl w:val="0"/>
        <w:numPr>
          <w:ilvl w:val="0"/>
          <w:numId w:val="14"/>
        </w:numPr>
        <w:ind w:left="1500"/>
        <w:jc w:val="both"/>
        <w:rPr>
          <w:rFonts w:ascii="Arial" w:hAnsi="Arial" w:cs="Arial"/>
          <w:sz w:val="20"/>
          <w:szCs w:val="20"/>
        </w:rPr>
      </w:pPr>
      <w:r w:rsidRPr="00B43B98">
        <w:rPr>
          <w:rFonts w:ascii="Arial" w:hAnsi="Arial" w:cs="Arial"/>
          <w:sz w:val="20"/>
          <w:szCs w:val="20"/>
        </w:rPr>
        <w:t xml:space="preserve"> Pasivos en moneda extranjera</w:t>
      </w:r>
    </w:p>
    <w:p w:rsidR="00EA5D2D" w:rsidRPr="00B43B98"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 xml:space="preserve"> Posición en moneda </w:t>
      </w:r>
      <w:r>
        <w:rPr>
          <w:rFonts w:ascii="Arial" w:hAnsi="Arial" w:cs="Arial"/>
          <w:sz w:val="20"/>
          <w:szCs w:val="20"/>
        </w:rPr>
        <w:t>extranjera</w:t>
      </w:r>
    </w:p>
    <w:p w:rsidR="00EA5D2D" w:rsidRPr="00B43B98" w:rsidRDefault="00EA5D2D" w:rsidP="00EA5D2D">
      <w:pPr>
        <w:pStyle w:val="Prrafodelista"/>
        <w:widowControl w:val="0"/>
        <w:numPr>
          <w:ilvl w:val="0"/>
          <w:numId w:val="14"/>
        </w:numPr>
        <w:jc w:val="both"/>
        <w:rPr>
          <w:rFonts w:ascii="Arial" w:hAnsi="Arial" w:cs="Arial"/>
          <w:sz w:val="20"/>
          <w:szCs w:val="20"/>
        </w:rPr>
      </w:pPr>
      <w:r w:rsidRPr="00B43B98">
        <w:rPr>
          <w:rFonts w:ascii="Arial" w:hAnsi="Arial" w:cs="Arial"/>
          <w:sz w:val="20"/>
          <w:szCs w:val="20"/>
        </w:rPr>
        <w:t>Tipo de cambio</w:t>
      </w:r>
    </w:p>
    <w:p w:rsidR="00EA5D2D" w:rsidRPr="0005478B" w:rsidRDefault="00EA5D2D" w:rsidP="00EA5D2D">
      <w:pPr>
        <w:pStyle w:val="Prrafodelista"/>
        <w:widowControl w:val="0"/>
        <w:numPr>
          <w:ilvl w:val="0"/>
          <w:numId w:val="14"/>
        </w:numPr>
        <w:jc w:val="both"/>
        <w:rPr>
          <w:rFonts w:ascii="Arial" w:hAnsi="Arial" w:cs="Arial"/>
          <w:sz w:val="20"/>
          <w:szCs w:val="20"/>
        </w:rPr>
      </w:pPr>
      <w:r w:rsidRPr="0005478B">
        <w:rPr>
          <w:rFonts w:ascii="Arial" w:hAnsi="Arial" w:cs="Arial"/>
          <w:sz w:val="20"/>
          <w:szCs w:val="20"/>
        </w:rPr>
        <w:t>Equivalente en moneda nacional:</w:t>
      </w:r>
    </w:p>
    <w:p w:rsidR="00EA5D2D" w:rsidRDefault="00EA5D2D" w:rsidP="00EA5D2D">
      <w:pPr>
        <w:jc w:val="both"/>
        <w:rPr>
          <w:rFonts w:ascii="Arial" w:hAnsi="Arial" w:cs="Arial"/>
          <w:sz w:val="20"/>
          <w:szCs w:val="20"/>
        </w:rPr>
      </w:pPr>
    </w:p>
    <w:p w:rsidR="00EA5D2D" w:rsidRDefault="00EA5D2D" w:rsidP="00EA5D2D">
      <w:pPr>
        <w:jc w:val="both"/>
        <w:rPr>
          <w:rFonts w:ascii="Arial" w:hAnsi="Arial" w:cs="Arial"/>
          <w:sz w:val="20"/>
          <w:szCs w:val="20"/>
        </w:rPr>
      </w:pPr>
      <w:r>
        <w:rPr>
          <w:rFonts w:ascii="Arial" w:hAnsi="Arial" w:cs="Arial"/>
          <w:sz w:val="20"/>
          <w:szCs w:val="20"/>
        </w:rPr>
        <w:t xml:space="preserve"> L</w:t>
      </w:r>
      <w:r w:rsidRPr="00B43B98">
        <w:rPr>
          <w:rFonts w:ascii="Arial" w:hAnsi="Arial" w:cs="Arial"/>
          <w:sz w:val="20"/>
          <w:szCs w:val="20"/>
        </w:rPr>
        <w:t>o anterior por cada tipo de moneda extranjera que se encuentre e</w:t>
      </w:r>
      <w:r>
        <w:rPr>
          <w:rFonts w:ascii="Arial" w:hAnsi="Arial" w:cs="Arial"/>
          <w:sz w:val="20"/>
          <w:szCs w:val="20"/>
        </w:rPr>
        <w:t>n los rubros de activo y pasivo.</w:t>
      </w:r>
    </w:p>
    <w:p w:rsidR="00EA5D2D" w:rsidRPr="00B43B98" w:rsidRDefault="00EA5D2D" w:rsidP="00EA5D2D">
      <w:pPr>
        <w:jc w:val="both"/>
        <w:rPr>
          <w:rFonts w:ascii="Arial" w:hAnsi="Arial" w:cs="Arial"/>
          <w:sz w:val="20"/>
          <w:szCs w:val="20"/>
        </w:rPr>
      </w:pPr>
      <w:r>
        <w:rPr>
          <w:rFonts w:ascii="Arial" w:hAnsi="Arial" w:cs="Arial"/>
          <w:sz w:val="20"/>
          <w:szCs w:val="20"/>
        </w:rPr>
        <w:t xml:space="preserve"> </w:t>
      </w:r>
      <w:r w:rsidRPr="00B43B98">
        <w:rPr>
          <w:rFonts w:ascii="Arial" w:hAnsi="Arial" w:cs="Arial"/>
          <w:sz w:val="20"/>
          <w:szCs w:val="20"/>
        </w:rPr>
        <w:t>Adicionalmente se informará sobre los métodos de protección de riesgo por variaciones en el tipo de cambio.</w:t>
      </w:r>
    </w:p>
    <w:p w:rsidR="00EA5D2D" w:rsidRPr="0005478B" w:rsidRDefault="00EA5D2D" w:rsidP="00EA5D2D">
      <w:pPr>
        <w:pStyle w:val="Prrafodelista"/>
        <w:ind w:left="1500"/>
        <w:jc w:val="both"/>
        <w:rPr>
          <w:rFonts w:ascii="Arial" w:hAnsi="Arial" w:cs="Arial"/>
          <w:sz w:val="20"/>
          <w:szCs w:val="20"/>
        </w:rPr>
      </w:pPr>
    </w:p>
    <w:p w:rsidR="00EA5D2D" w:rsidRPr="00C137AC" w:rsidRDefault="00EA5D2D" w:rsidP="00EA5D2D">
      <w:pPr>
        <w:pStyle w:val="Texto"/>
        <w:spacing w:after="0" w:line="312" w:lineRule="auto"/>
        <w:contextualSpacing/>
        <w:rPr>
          <w:sz w:val="20"/>
        </w:rPr>
      </w:pPr>
      <w:r>
        <w:rPr>
          <w:sz w:val="20"/>
        </w:rPr>
        <w:t xml:space="preserve">       NO APLICA</w:t>
      </w:r>
    </w:p>
    <w:p w:rsidR="00EA5D2D" w:rsidRPr="0005478B" w:rsidRDefault="00EA5D2D" w:rsidP="00EA5D2D">
      <w:pPr>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Analítico del Activo:</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Debe mostrar la siguiente información:</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p>
    <w:p w:rsidR="00EA5D2D"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Vida útil o porcentajes de depreciación, deterioro o amortización utilizados en los diferentes tipos de activos:</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t xml:space="preserve"> </w:t>
      </w:r>
    </w:p>
    <w:p w:rsidR="00EA5D2D" w:rsidRPr="00502117" w:rsidRDefault="00EA5D2D" w:rsidP="00EA5D2D">
      <w:pPr>
        <w:pStyle w:val="Prrafodelista"/>
        <w:ind w:left="1500"/>
        <w:jc w:val="both"/>
        <w:rPr>
          <w:rFonts w:ascii="Arial" w:hAnsi="Arial" w:cs="Arial"/>
          <w:sz w:val="20"/>
          <w:szCs w:val="20"/>
        </w:rPr>
      </w:pPr>
      <w:r w:rsidRPr="00502117">
        <w:rPr>
          <w:rFonts w:ascii="Arial" w:hAnsi="Arial" w:cs="Arial"/>
          <w:sz w:val="20"/>
          <w:szCs w:val="20"/>
        </w:rPr>
        <w:t>El valor de los activos, pasivos y patrimonio que se presentan en los estados financieros se encuentran registrados a su costo de adquisición incluyendo el impuesto al valor agregado. La depreciación se calculará de forma anual por el método de línea recta con base en las vidas útiles de los bienes muebles e inmuebles.</w:t>
      </w:r>
    </w:p>
    <w:p w:rsidR="00EA5D2D"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ind w:left="150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Cambios en el porcentaje de depreciación o valor residual de los activos:</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Importe de los gastos capitalizados en el ejercicio, tanto financieros como de investigación y desarrollo:</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Riesgos por tipo de cambio o tipo de interés de las inversiones financieras:</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Valor activado en el ejercicio de los bienes construidos por la entidad:</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lastRenderedPageBreak/>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Desmantelamiento de Activos, procedimientos, implicaciones, efectos contables:</w:t>
      </w:r>
    </w:p>
    <w:p w:rsidR="00EA5D2D"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15"/>
        </w:numPr>
        <w:jc w:val="both"/>
        <w:rPr>
          <w:rFonts w:ascii="Arial" w:hAnsi="Arial" w:cs="Arial"/>
          <w:sz w:val="20"/>
          <w:szCs w:val="20"/>
        </w:rPr>
      </w:pPr>
      <w:r w:rsidRPr="0005478B">
        <w:rPr>
          <w:rFonts w:ascii="Arial" w:hAnsi="Arial" w:cs="Arial"/>
          <w:sz w:val="20"/>
          <w:szCs w:val="20"/>
        </w:rPr>
        <w:t>Administración de activos; planeación con el objetivo de que el ente los utilice de manera más efectiva:</w:t>
      </w:r>
    </w:p>
    <w:p w:rsidR="00EA5D2D" w:rsidRPr="0005478B" w:rsidRDefault="00EA5D2D" w:rsidP="00EA5D2D">
      <w:pPr>
        <w:pStyle w:val="Prrafodelista"/>
        <w:ind w:left="108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jc w:val="both"/>
        <w:rPr>
          <w:rFonts w:ascii="Arial" w:hAnsi="Arial" w:cs="Arial"/>
          <w:sz w:val="20"/>
          <w:szCs w:val="20"/>
        </w:rPr>
      </w:pPr>
      <w:r w:rsidRPr="0005478B">
        <w:rPr>
          <w:rFonts w:ascii="Arial" w:hAnsi="Arial" w:cs="Arial"/>
          <w:sz w:val="20"/>
          <w:szCs w:val="20"/>
        </w:rPr>
        <w:t>Adicionalmente, se deben incluir las explicaciones de las principales variaciones en el activo, en cuadros comparativos como sigue:</w:t>
      </w:r>
    </w:p>
    <w:p w:rsidR="00EA5D2D" w:rsidRPr="00B43B98" w:rsidRDefault="00EA5D2D" w:rsidP="00EA5D2D">
      <w:pPr>
        <w:pStyle w:val="Prrafodelista"/>
        <w:widowControl w:val="0"/>
        <w:numPr>
          <w:ilvl w:val="0"/>
          <w:numId w:val="13"/>
        </w:numPr>
        <w:jc w:val="both"/>
        <w:rPr>
          <w:rFonts w:ascii="Arial" w:hAnsi="Arial" w:cs="Arial"/>
          <w:sz w:val="20"/>
          <w:szCs w:val="20"/>
        </w:rPr>
      </w:pPr>
      <w:r w:rsidRPr="0005478B">
        <w:rPr>
          <w:rFonts w:ascii="Arial" w:hAnsi="Arial" w:cs="Arial"/>
          <w:sz w:val="20"/>
          <w:szCs w:val="20"/>
        </w:rPr>
        <w:t xml:space="preserve">Inversiones en valores: </w:t>
      </w:r>
      <w:r w:rsidRPr="00B43B98">
        <w:rPr>
          <w:rFonts w:ascii="Arial" w:hAnsi="Arial" w:cs="Arial"/>
          <w:sz w:val="20"/>
          <w:szCs w:val="20"/>
        </w:rPr>
        <w:t>No aplica.</w:t>
      </w:r>
    </w:p>
    <w:p w:rsidR="00EA5D2D"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Indirecto: No aplica.</w:t>
      </w:r>
    </w:p>
    <w:p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mayoritaria:</w:t>
      </w:r>
      <w:r>
        <w:rPr>
          <w:rFonts w:ascii="Arial" w:hAnsi="Arial" w:cs="Arial"/>
          <w:sz w:val="20"/>
          <w:szCs w:val="20"/>
        </w:rPr>
        <w:t xml:space="preserve"> </w:t>
      </w:r>
      <w:r w:rsidRPr="00B43B98">
        <w:rPr>
          <w:rFonts w:ascii="Arial" w:hAnsi="Arial" w:cs="Arial"/>
          <w:sz w:val="20"/>
          <w:szCs w:val="20"/>
        </w:rPr>
        <w:t>No aplica.</w:t>
      </w:r>
    </w:p>
    <w:p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Inversiones en empresas de participación minoritaria:</w:t>
      </w:r>
      <w:r>
        <w:rPr>
          <w:rFonts w:ascii="Arial" w:hAnsi="Arial" w:cs="Arial"/>
          <w:sz w:val="20"/>
          <w:szCs w:val="20"/>
        </w:rPr>
        <w:t xml:space="preserve"> </w:t>
      </w:r>
      <w:r w:rsidRPr="00B43B98">
        <w:rPr>
          <w:rFonts w:ascii="Arial" w:hAnsi="Arial" w:cs="Arial"/>
          <w:sz w:val="20"/>
          <w:szCs w:val="20"/>
        </w:rPr>
        <w:t>No aplica.</w:t>
      </w:r>
    </w:p>
    <w:p w:rsidR="00EA5D2D" w:rsidRPr="00B43B98" w:rsidRDefault="00EA5D2D" w:rsidP="00EA5D2D">
      <w:pPr>
        <w:pStyle w:val="Prrafodelista"/>
        <w:widowControl w:val="0"/>
        <w:numPr>
          <w:ilvl w:val="0"/>
          <w:numId w:val="13"/>
        </w:numPr>
        <w:jc w:val="both"/>
        <w:rPr>
          <w:rFonts w:ascii="Arial" w:hAnsi="Arial" w:cs="Arial"/>
          <w:sz w:val="20"/>
          <w:szCs w:val="20"/>
        </w:rPr>
      </w:pPr>
      <w:r w:rsidRPr="00B43B98">
        <w:rPr>
          <w:rFonts w:ascii="Arial" w:hAnsi="Arial" w:cs="Arial"/>
          <w:sz w:val="20"/>
          <w:szCs w:val="20"/>
        </w:rPr>
        <w:t>Patrimonio de organismos descentralizados de control presupuestario directo, según corresponda:</w:t>
      </w:r>
      <w:r>
        <w:rPr>
          <w:rFonts w:ascii="Arial" w:hAnsi="Arial" w:cs="Arial"/>
          <w:sz w:val="20"/>
          <w:szCs w:val="20"/>
        </w:rPr>
        <w:t xml:space="preserve"> </w:t>
      </w:r>
      <w:r w:rsidRPr="00B43B98">
        <w:rPr>
          <w:rFonts w:ascii="Arial" w:hAnsi="Arial" w:cs="Arial"/>
          <w:sz w:val="20"/>
          <w:szCs w:val="20"/>
        </w:rPr>
        <w:t>No aplica.</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Fideicomisos, Mandatos y Análogos:</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deberá informar:</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 xml:space="preserve">Por ramo administrativo que los reporta: </w:t>
      </w:r>
    </w:p>
    <w:p w:rsidR="00EA5D2D" w:rsidRPr="0005478B" w:rsidRDefault="00EA5D2D" w:rsidP="00EA5D2D">
      <w:pPr>
        <w:pStyle w:val="Prrafodelista"/>
        <w:widowControl w:val="0"/>
        <w:numPr>
          <w:ilvl w:val="0"/>
          <w:numId w:val="16"/>
        </w:numPr>
        <w:jc w:val="both"/>
        <w:rPr>
          <w:rFonts w:ascii="Arial" w:hAnsi="Arial" w:cs="Arial"/>
          <w:sz w:val="20"/>
          <w:szCs w:val="20"/>
        </w:rPr>
      </w:pPr>
      <w:r w:rsidRPr="0005478B">
        <w:rPr>
          <w:rFonts w:ascii="Arial" w:hAnsi="Arial" w:cs="Arial"/>
          <w:sz w:val="20"/>
          <w:szCs w:val="20"/>
        </w:rPr>
        <w:t>Enlistar los de mayor monto de disponibilidad, relacionando aquéllos que conforman el 80% de las disponibilidades:</w:t>
      </w:r>
    </w:p>
    <w:p w:rsidR="00EA5D2D" w:rsidRDefault="00EA5D2D" w:rsidP="00EA5D2D">
      <w:pPr>
        <w:pStyle w:val="INCISO"/>
        <w:spacing w:after="0" w:line="312" w:lineRule="auto"/>
        <w:ind w:firstLine="0"/>
        <w:contextualSpacing/>
        <w:rPr>
          <w:sz w:val="20"/>
          <w:szCs w:val="20"/>
        </w:rPr>
      </w:pPr>
    </w:p>
    <w:p w:rsidR="00EA5D2D" w:rsidRDefault="00EA5D2D" w:rsidP="00EA5D2D">
      <w:pPr>
        <w:pStyle w:val="INCISO"/>
        <w:spacing w:after="0" w:line="312" w:lineRule="auto"/>
        <w:ind w:firstLine="0"/>
        <w:contextualSpacing/>
        <w:rPr>
          <w:sz w:val="20"/>
          <w:szCs w:val="20"/>
        </w:rPr>
      </w:pPr>
      <w:r>
        <w:rPr>
          <w:sz w:val="20"/>
          <w:szCs w:val="20"/>
        </w:rPr>
        <w:t>NO APLICA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Reporte de la Recaudación:</w:t>
      </w:r>
    </w:p>
    <w:p w:rsidR="00EA5D2D" w:rsidRPr="0005478B" w:rsidRDefault="00EA5D2D" w:rsidP="00EA5D2D">
      <w:pPr>
        <w:pStyle w:val="Prrafodelista"/>
        <w:jc w:val="both"/>
        <w:rPr>
          <w:rFonts w:ascii="Arial" w:hAnsi="Arial" w:cs="Arial"/>
          <w:sz w:val="20"/>
          <w:szCs w:val="20"/>
        </w:rPr>
      </w:pPr>
    </w:p>
    <w:p w:rsidR="00EA5D2D" w:rsidRPr="000311D4" w:rsidRDefault="00EA5D2D" w:rsidP="00EA5D2D">
      <w:pPr>
        <w:pStyle w:val="Prrafodelista"/>
        <w:widowControl w:val="0"/>
        <w:numPr>
          <w:ilvl w:val="0"/>
          <w:numId w:val="17"/>
        </w:numPr>
        <w:jc w:val="both"/>
        <w:rPr>
          <w:rFonts w:ascii="Arial" w:hAnsi="Arial" w:cs="Arial"/>
          <w:sz w:val="20"/>
          <w:szCs w:val="20"/>
        </w:rPr>
      </w:pPr>
      <w:r w:rsidRPr="000311D4">
        <w:rPr>
          <w:rFonts w:ascii="Arial" w:hAnsi="Arial" w:cs="Arial"/>
          <w:sz w:val="20"/>
          <w:szCs w:val="20"/>
        </w:rPr>
        <w:t xml:space="preserve">Análisis del comportamiento de la recaudación correspondiente al ente público o cualquier tipo de ingreso, de forma separada los ingresos locales de los federales: </w:t>
      </w:r>
    </w:p>
    <w:p w:rsidR="00EA5D2D" w:rsidRPr="000311D4" w:rsidRDefault="00EA5D2D" w:rsidP="00EA5D2D">
      <w:pPr>
        <w:pStyle w:val="Prrafodelista"/>
        <w:jc w:val="both"/>
        <w:rPr>
          <w:rFonts w:ascii="Arial" w:hAnsi="Arial" w:cs="Arial"/>
          <w:sz w:val="20"/>
          <w:szCs w:val="20"/>
        </w:rPr>
      </w:pPr>
      <w:r w:rsidRPr="000311D4">
        <w:rPr>
          <w:rFonts w:ascii="Arial" w:hAnsi="Arial" w:cs="Arial"/>
          <w:sz w:val="20"/>
          <w:szCs w:val="20"/>
        </w:rPr>
        <w:t xml:space="preserve">El total de los ingresos recaudados, es de $ </w:t>
      </w:r>
      <w:r w:rsidR="00B903D2">
        <w:rPr>
          <w:rFonts w:ascii="Arial" w:hAnsi="Arial" w:cs="Arial"/>
          <w:sz w:val="20"/>
          <w:szCs w:val="20"/>
        </w:rPr>
        <w:t>4,634,973.36</w:t>
      </w:r>
      <w:r w:rsidR="000311D4" w:rsidRPr="000311D4">
        <w:rPr>
          <w:rFonts w:ascii="Arial" w:hAnsi="Arial" w:cs="Arial"/>
          <w:sz w:val="20"/>
          <w:szCs w:val="20"/>
        </w:rPr>
        <w:t xml:space="preserve"> (</w:t>
      </w:r>
      <w:r w:rsidR="00B903D2">
        <w:rPr>
          <w:rFonts w:ascii="Arial" w:hAnsi="Arial" w:cs="Arial"/>
          <w:sz w:val="20"/>
          <w:szCs w:val="20"/>
        </w:rPr>
        <w:t>Cuatro millones seisci</w:t>
      </w:r>
      <w:r w:rsidRPr="000311D4">
        <w:rPr>
          <w:rFonts w:ascii="Arial" w:hAnsi="Arial" w:cs="Arial"/>
          <w:sz w:val="20"/>
          <w:szCs w:val="20"/>
        </w:rPr>
        <w:t xml:space="preserve">entos </w:t>
      </w:r>
      <w:r w:rsidR="000311D4" w:rsidRPr="000311D4">
        <w:rPr>
          <w:rFonts w:ascii="Arial" w:hAnsi="Arial" w:cs="Arial"/>
          <w:sz w:val="20"/>
          <w:szCs w:val="20"/>
        </w:rPr>
        <w:t xml:space="preserve">treinta y </w:t>
      </w:r>
      <w:r w:rsidR="00B903D2">
        <w:rPr>
          <w:rFonts w:ascii="Arial" w:hAnsi="Arial" w:cs="Arial"/>
          <w:sz w:val="20"/>
          <w:szCs w:val="20"/>
        </w:rPr>
        <w:t>cuatro</w:t>
      </w:r>
      <w:r w:rsidR="000311D4" w:rsidRPr="000311D4">
        <w:rPr>
          <w:rFonts w:ascii="Arial" w:hAnsi="Arial" w:cs="Arial"/>
          <w:sz w:val="20"/>
          <w:szCs w:val="20"/>
        </w:rPr>
        <w:t xml:space="preserve"> </w:t>
      </w:r>
      <w:r w:rsidRPr="000311D4">
        <w:rPr>
          <w:rFonts w:ascii="Arial" w:hAnsi="Arial" w:cs="Arial"/>
          <w:sz w:val="20"/>
          <w:szCs w:val="20"/>
        </w:rPr>
        <w:t xml:space="preserve">mil </w:t>
      </w:r>
      <w:r w:rsidR="00B903D2">
        <w:rPr>
          <w:rFonts w:ascii="Arial" w:hAnsi="Arial" w:cs="Arial"/>
          <w:sz w:val="20"/>
          <w:szCs w:val="20"/>
        </w:rPr>
        <w:t>nove</w:t>
      </w:r>
      <w:r w:rsidRPr="000311D4">
        <w:rPr>
          <w:rFonts w:ascii="Arial" w:hAnsi="Arial" w:cs="Arial"/>
          <w:sz w:val="20"/>
          <w:szCs w:val="20"/>
        </w:rPr>
        <w:t xml:space="preserve">cientos </w:t>
      </w:r>
      <w:r w:rsidR="00B903D2">
        <w:rPr>
          <w:rFonts w:ascii="Arial" w:hAnsi="Arial" w:cs="Arial"/>
          <w:sz w:val="20"/>
          <w:szCs w:val="20"/>
        </w:rPr>
        <w:t>setenta y tres pesos 36</w:t>
      </w:r>
      <w:r w:rsidRPr="000311D4">
        <w:rPr>
          <w:rFonts w:ascii="Arial" w:hAnsi="Arial" w:cs="Arial"/>
          <w:sz w:val="20"/>
          <w:szCs w:val="20"/>
        </w:rPr>
        <w:t>/100 M.N.),</w:t>
      </w:r>
      <w:r w:rsidRPr="000311D4">
        <w:rPr>
          <w:sz w:val="20"/>
          <w:szCs w:val="20"/>
        </w:rPr>
        <w:t xml:space="preserve"> </w:t>
      </w:r>
      <w:r w:rsidRPr="000311D4">
        <w:rPr>
          <w:rFonts w:ascii="Arial" w:hAnsi="Arial" w:cs="Arial"/>
          <w:sz w:val="20"/>
          <w:szCs w:val="20"/>
        </w:rPr>
        <w:t xml:space="preserve"> todos de aportación estatal. </w:t>
      </w:r>
    </w:p>
    <w:p w:rsidR="00EA5D2D" w:rsidRPr="000311D4" w:rsidRDefault="00EA5D2D" w:rsidP="00EA5D2D">
      <w:pPr>
        <w:pStyle w:val="Prrafodelista"/>
        <w:widowControl w:val="0"/>
        <w:numPr>
          <w:ilvl w:val="0"/>
          <w:numId w:val="17"/>
        </w:numPr>
        <w:jc w:val="both"/>
        <w:rPr>
          <w:rFonts w:ascii="Arial" w:hAnsi="Arial" w:cs="Arial"/>
          <w:sz w:val="20"/>
          <w:szCs w:val="20"/>
        </w:rPr>
      </w:pPr>
      <w:r w:rsidRPr="000311D4">
        <w:rPr>
          <w:rFonts w:ascii="Arial" w:hAnsi="Arial" w:cs="Arial"/>
          <w:sz w:val="20"/>
          <w:szCs w:val="20"/>
        </w:rPr>
        <w:t>Proyección de la recaudación e ingresos en el mediano plazo:</w:t>
      </w:r>
    </w:p>
    <w:p w:rsidR="00EA5D2D" w:rsidRDefault="00EA5D2D" w:rsidP="00EA5D2D">
      <w:pPr>
        <w:pStyle w:val="Prrafodelista"/>
        <w:jc w:val="both"/>
        <w:rPr>
          <w:rFonts w:ascii="Arial" w:hAnsi="Arial" w:cs="Arial"/>
          <w:sz w:val="20"/>
          <w:szCs w:val="20"/>
        </w:rPr>
      </w:pPr>
      <w:r w:rsidRPr="000311D4">
        <w:rPr>
          <w:rFonts w:ascii="Arial" w:hAnsi="Arial" w:cs="Arial"/>
          <w:sz w:val="20"/>
          <w:szCs w:val="20"/>
        </w:rPr>
        <w:t xml:space="preserve">Conforme al calendario </w:t>
      </w:r>
      <w:r w:rsidR="00B903D2">
        <w:rPr>
          <w:rFonts w:ascii="Arial" w:hAnsi="Arial" w:cs="Arial"/>
          <w:sz w:val="20"/>
          <w:szCs w:val="20"/>
        </w:rPr>
        <w:t>25</w:t>
      </w:r>
      <w:r w:rsidRPr="000311D4">
        <w:rPr>
          <w:rFonts w:ascii="Arial" w:hAnsi="Arial" w:cs="Arial"/>
          <w:sz w:val="20"/>
          <w:szCs w:val="20"/>
        </w:rPr>
        <w:t>%.</w:t>
      </w:r>
    </w:p>
    <w:p w:rsidR="00EA5D2D" w:rsidRPr="0005478B" w:rsidRDefault="00EA5D2D" w:rsidP="00EA5D2D">
      <w:pPr>
        <w:pStyle w:val="Prrafodelista"/>
        <w:jc w:val="both"/>
        <w:rPr>
          <w:rFonts w:ascii="Arial" w:hAnsi="Arial" w:cs="Arial"/>
          <w:b/>
          <w:sz w:val="20"/>
          <w:szCs w:val="20"/>
        </w:rPr>
      </w:pPr>
    </w:p>
    <w:p w:rsidR="00EA5D2D" w:rsidRPr="0005478B" w:rsidRDefault="00EA5D2D" w:rsidP="00EA5D2D">
      <w:pPr>
        <w:pStyle w:val="Prrafodelista"/>
        <w:widowControl w:val="0"/>
        <w:numPr>
          <w:ilvl w:val="0"/>
          <w:numId w:val="20"/>
        </w:numPr>
        <w:jc w:val="both"/>
        <w:rPr>
          <w:rFonts w:ascii="Arial" w:hAnsi="Arial" w:cs="Arial"/>
          <w:sz w:val="20"/>
          <w:szCs w:val="20"/>
        </w:rPr>
      </w:pPr>
      <w:r w:rsidRPr="0005478B">
        <w:rPr>
          <w:rFonts w:ascii="Arial" w:hAnsi="Arial" w:cs="Arial"/>
          <w:b/>
          <w:sz w:val="20"/>
          <w:szCs w:val="20"/>
        </w:rPr>
        <w:t>Información sobre la Deuda y el Reporte Analítico de la Deuda</w:t>
      </w:r>
      <w:r w:rsidRPr="0005478B">
        <w:rPr>
          <w:rFonts w:ascii="Arial" w:hAnsi="Arial" w:cs="Arial"/>
          <w:sz w:val="20"/>
          <w:szCs w:val="20"/>
        </w:rPr>
        <w:t xml:space="preserve">: </w:t>
      </w:r>
    </w:p>
    <w:p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Utilizar al menos los siguientes indicadores: deuda respecto al PIB y deuda respecto a la recaudación tomando, como mínimo, un período igual o menor a 5 años.</w:t>
      </w:r>
    </w:p>
    <w:p w:rsidR="00EA5D2D" w:rsidRPr="0005478B" w:rsidRDefault="00EA5D2D" w:rsidP="00EA5D2D">
      <w:pPr>
        <w:pStyle w:val="Prrafodelista"/>
        <w:widowControl w:val="0"/>
        <w:numPr>
          <w:ilvl w:val="0"/>
          <w:numId w:val="18"/>
        </w:numPr>
        <w:jc w:val="both"/>
        <w:rPr>
          <w:rFonts w:ascii="Arial" w:hAnsi="Arial" w:cs="Arial"/>
          <w:sz w:val="20"/>
          <w:szCs w:val="20"/>
        </w:rPr>
      </w:pPr>
      <w:r w:rsidRPr="0005478B">
        <w:rPr>
          <w:rFonts w:ascii="Arial" w:hAnsi="Arial" w:cs="Arial"/>
          <w:sz w:val="20"/>
          <w:szCs w:val="20"/>
        </w:rPr>
        <w:t xml:space="preserve">Información de manera agrupada por tipo de valor gubernamental o instrumento financiero en la que se consideren intereses, comisiones, </w:t>
      </w:r>
      <w:r w:rsidRPr="0005478B">
        <w:rPr>
          <w:rFonts w:ascii="Arial" w:hAnsi="Arial" w:cs="Arial"/>
          <w:sz w:val="20"/>
          <w:szCs w:val="20"/>
        </w:rPr>
        <w:lastRenderedPageBreak/>
        <w:t>tasa, perfil de vencimiento y otros gastos de la deuda.</w:t>
      </w:r>
    </w:p>
    <w:p w:rsidR="00EA5D2D" w:rsidRPr="0005478B" w:rsidRDefault="00EA5D2D" w:rsidP="00EA5D2D">
      <w:pPr>
        <w:pStyle w:val="Prrafodelista"/>
        <w:ind w:left="1080"/>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 xml:space="preserve">   </w:t>
      </w:r>
      <w:r>
        <w:rPr>
          <w:rFonts w:ascii="Arial" w:hAnsi="Arial" w:cs="Arial"/>
          <w:sz w:val="20"/>
          <w:szCs w:val="20"/>
        </w:rPr>
        <w:t>NO APLICA</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Calificaciones otorgadas:</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Informar, tanto del ente público como cualquier transacción realizada, que haya sido sujeta a una calificación crediticia:</w:t>
      </w:r>
    </w:p>
    <w:p w:rsidR="00EA5D2D" w:rsidRPr="0005478B" w:rsidRDefault="00EA5D2D" w:rsidP="00EA5D2D">
      <w:pPr>
        <w:pStyle w:val="Prrafodelista"/>
        <w:jc w:val="both"/>
        <w:rPr>
          <w:rFonts w:ascii="Arial" w:hAnsi="Arial" w:cs="Arial"/>
          <w:sz w:val="20"/>
          <w:szCs w:val="20"/>
        </w:rPr>
      </w:pPr>
    </w:p>
    <w:p w:rsidR="00EA5D2D" w:rsidRDefault="00EA5D2D" w:rsidP="00EA5D2D">
      <w:pPr>
        <w:pStyle w:val="Prrafodelista"/>
        <w:jc w:val="both"/>
        <w:rPr>
          <w:rFonts w:ascii="Arial" w:hAnsi="Arial" w:cs="Arial"/>
          <w:sz w:val="20"/>
          <w:szCs w:val="20"/>
        </w:rPr>
      </w:pPr>
      <w:r>
        <w:rPr>
          <w:rFonts w:ascii="Arial" w:hAnsi="Arial" w:cs="Arial"/>
          <w:sz w:val="20"/>
          <w:szCs w:val="20"/>
        </w:rPr>
        <w:t>NO APLICA</w:t>
      </w:r>
      <w:r w:rsidRPr="0005478B">
        <w:rPr>
          <w:rFonts w:ascii="Arial" w:hAnsi="Arial" w:cs="Arial"/>
          <w:sz w:val="20"/>
          <w:szCs w:val="20"/>
        </w:rPr>
        <w:tab/>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Proceso de Mejora:</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informará de:</w:t>
      </w:r>
    </w:p>
    <w:p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Principales Políticas de control interno:</w:t>
      </w:r>
    </w:p>
    <w:p w:rsidR="00EA5D2D" w:rsidRPr="0005478B" w:rsidRDefault="00EA5D2D" w:rsidP="00EA5D2D">
      <w:pPr>
        <w:pStyle w:val="Prrafodelista"/>
        <w:ind w:left="1260"/>
        <w:jc w:val="both"/>
        <w:rPr>
          <w:rFonts w:ascii="Arial" w:hAnsi="Arial" w:cs="Arial"/>
          <w:sz w:val="20"/>
          <w:szCs w:val="20"/>
        </w:rPr>
      </w:pPr>
      <w:r w:rsidRPr="0005478B">
        <w:rPr>
          <w:rFonts w:ascii="Arial" w:hAnsi="Arial" w:cs="Arial"/>
          <w:sz w:val="20"/>
          <w:szCs w:val="20"/>
        </w:rPr>
        <w:t>Las contenidas en el Ley del Sistema Estatal Anticorrupción de Guanajuato y el Estatuto de la Secretaría Ejecutiva del Sistema Estatal Anticorrupción de Guanajuato.</w:t>
      </w:r>
    </w:p>
    <w:p w:rsidR="00EA5D2D" w:rsidRDefault="00EA5D2D" w:rsidP="00EA5D2D">
      <w:pPr>
        <w:pStyle w:val="Prrafodelista"/>
        <w:widowControl w:val="0"/>
        <w:numPr>
          <w:ilvl w:val="0"/>
          <w:numId w:val="19"/>
        </w:numPr>
        <w:jc w:val="both"/>
        <w:rPr>
          <w:rFonts w:ascii="Arial" w:hAnsi="Arial" w:cs="Arial"/>
          <w:sz w:val="20"/>
          <w:szCs w:val="20"/>
        </w:rPr>
      </w:pPr>
      <w:r w:rsidRPr="0005478B">
        <w:rPr>
          <w:rFonts w:ascii="Arial" w:hAnsi="Arial" w:cs="Arial"/>
          <w:sz w:val="20"/>
          <w:szCs w:val="20"/>
        </w:rPr>
        <w:t>Medidas de desempeño financiero, metas y alcance:</w:t>
      </w:r>
    </w:p>
    <w:p w:rsidR="00EA5D2D" w:rsidRPr="00C4412E" w:rsidRDefault="00EA5D2D" w:rsidP="00EA5D2D">
      <w:pPr>
        <w:pStyle w:val="Prrafodelista"/>
        <w:ind w:left="1260"/>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Información por Segmentos:</w:t>
      </w:r>
    </w:p>
    <w:p w:rsidR="00EA5D2D" w:rsidRPr="0005478B" w:rsidRDefault="00EA5D2D" w:rsidP="00EA5D2D">
      <w:pPr>
        <w:pStyle w:val="Prrafodelista"/>
        <w:jc w:val="both"/>
        <w:rPr>
          <w:rFonts w:ascii="Arial" w:hAnsi="Arial" w:cs="Arial"/>
          <w:sz w:val="20"/>
          <w:szCs w:val="20"/>
        </w:rPr>
      </w:pPr>
    </w:p>
    <w:p w:rsidR="00EA5D2D" w:rsidRDefault="00EA5D2D" w:rsidP="00EA5D2D">
      <w:pPr>
        <w:pStyle w:val="Prrafodelista"/>
        <w:jc w:val="both"/>
        <w:rPr>
          <w:rFonts w:ascii="Arial" w:hAnsi="Arial" w:cs="Arial"/>
          <w:sz w:val="20"/>
          <w:szCs w:val="20"/>
        </w:rPr>
      </w:pPr>
      <w:r w:rsidRPr="0005478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Consecuentemente, esta información contribuye al análisis más preciso de la situación financiera, grados y fuentes de riesgo y crecimiento potencial de negocio.</w:t>
      </w:r>
    </w:p>
    <w:p w:rsidR="00EA5D2D" w:rsidRDefault="00EA5D2D" w:rsidP="00EA5D2D">
      <w:pPr>
        <w:pStyle w:val="Prrafodelista"/>
        <w:jc w:val="both"/>
        <w:rPr>
          <w:rFonts w:ascii="Arial" w:hAnsi="Arial" w:cs="Arial"/>
          <w:sz w:val="20"/>
          <w:szCs w:val="20"/>
        </w:rPr>
      </w:pPr>
    </w:p>
    <w:p w:rsidR="00EA5D2D" w:rsidRDefault="00EA5D2D" w:rsidP="00EA5D2D">
      <w:pPr>
        <w:pStyle w:val="Prrafodelista"/>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jc w:val="both"/>
        <w:rPr>
          <w:rFonts w:ascii="Arial" w:hAnsi="Arial" w:cs="Arial"/>
          <w:b/>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 xml:space="preserve"> Eventos Posteriores al Cierre:</w:t>
      </w:r>
    </w:p>
    <w:p w:rsidR="00EA5D2D" w:rsidRPr="0005478B" w:rsidRDefault="00EA5D2D" w:rsidP="00EA5D2D">
      <w:pPr>
        <w:pStyle w:val="Prrafodelista"/>
        <w:jc w:val="both"/>
        <w:rPr>
          <w:rFonts w:ascii="Arial" w:hAnsi="Arial" w:cs="Arial"/>
          <w:sz w:val="20"/>
          <w:szCs w:val="20"/>
        </w:rPr>
      </w:pPr>
    </w:p>
    <w:p w:rsidR="00EA5D2D" w:rsidRDefault="00EA5D2D" w:rsidP="00EA5D2D">
      <w:pPr>
        <w:pStyle w:val="Prrafodelista"/>
        <w:jc w:val="both"/>
        <w:rPr>
          <w:rFonts w:ascii="Arial" w:hAnsi="Arial" w:cs="Arial"/>
          <w:sz w:val="20"/>
          <w:szCs w:val="20"/>
        </w:rPr>
      </w:pPr>
      <w:r w:rsidRPr="0005478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20044A" w:rsidRDefault="0020044A" w:rsidP="00EA5D2D">
      <w:pPr>
        <w:pStyle w:val="Prrafodelista"/>
        <w:jc w:val="both"/>
        <w:rPr>
          <w:rFonts w:ascii="Arial" w:hAnsi="Arial" w:cs="Arial"/>
          <w:sz w:val="20"/>
          <w:szCs w:val="20"/>
        </w:rPr>
      </w:pPr>
    </w:p>
    <w:p w:rsidR="0020044A" w:rsidRPr="0005478B" w:rsidRDefault="0020044A" w:rsidP="00EA5D2D">
      <w:pPr>
        <w:pStyle w:val="Prrafodelista"/>
        <w:jc w:val="both"/>
        <w:rPr>
          <w:rFonts w:ascii="Arial" w:hAnsi="Arial" w:cs="Arial"/>
          <w:sz w:val="20"/>
          <w:szCs w:val="20"/>
        </w:rPr>
      </w:pPr>
      <w:r>
        <w:rPr>
          <w:rFonts w:ascii="Arial" w:hAnsi="Arial" w:cs="Arial"/>
          <w:sz w:val="20"/>
          <w:szCs w:val="20"/>
        </w:rPr>
        <w:t>Posterior al cierre del Primer Trimestre 2021, se informa que se detectó una diferencia en el Estado de Cambios en la Situación Financiera, en el rubro de Efectivo y Equivalentes, por la cantidad de $29.06 (Veintinueve pesos 06/100 M.N.). La cual al ser detectada se instruyó hacer la corrección pertinente para su adecuado reflejo de la Información Financiera.</w:t>
      </w:r>
    </w:p>
    <w:p w:rsidR="00EA5D2D" w:rsidRPr="0005478B" w:rsidRDefault="00EA5D2D" w:rsidP="00EA5D2D">
      <w:pPr>
        <w:pStyle w:val="Prrafodelista"/>
        <w:jc w:val="both"/>
        <w:rPr>
          <w:rFonts w:ascii="Arial" w:hAnsi="Arial" w:cs="Arial"/>
          <w:sz w:val="20"/>
          <w:szCs w:val="20"/>
        </w:rPr>
      </w:pPr>
    </w:p>
    <w:p w:rsidR="00EA5D2D" w:rsidRPr="0020044A" w:rsidRDefault="0020044A" w:rsidP="0020044A">
      <w:pPr>
        <w:jc w:val="both"/>
        <w:rPr>
          <w:rFonts w:ascii="Arial" w:hAnsi="Arial" w:cs="Arial"/>
          <w:sz w:val="20"/>
          <w:szCs w:val="20"/>
        </w:rPr>
      </w:pPr>
      <w:r>
        <w:rPr>
          <w:rFonts w:ascii="Arial" w:hAnsi="Arial" w:cs="Arial"/>
          <w:sz w:val="20"/>
          <w:szCs w:val="20"/>
        </w:rPr>
        <w:t xml:space="preserve">             </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b/>
          <w:sz w:val="20"/>
          <w:szCs w:val="20"/>
        </w:rPr>
        <w:t>Partes Relacionadas:</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Se debe establecer por escrito que no existen partes relacionadas que pudieran ejercer influencia significativa sobre la toma de decisiones financieras y operativas:</w:t>
      </w:r>
    </w:p>
    <w:p w:rsidR="00EA5D2D" w:rsidRPr="0005478B" w:rsidRDefault="00EA5D2D" w:rsidP="00EA5D2D">
      <w:pPr>
        <w:pStyle w:val="Prrafodelista"/>
        <w:jc w:val="both"/>
        <w:rPr>
          <w:rFonts w:ascii="Arial" w:hAnsi="Arial" w:cs="Arial"/>
          <w:sz w:val="20"/>
          <w:szCs w:val="20"/>
        </w:rPr>
      </w:pPr>
    </w:p>
    <w:p w:rsidR="00EA5D2D" w:rsidRDefault="00EA5D2D" w:rsidP="00EA5D2D">
      <w:pPr>
        <w:pStyle w:val="Prrafodelista"/>
        <w:jc w:val="both"/>
        <w:rPr>
          <w:rFonts w:ascii="Arial" w:hAnsi="Arial" w:cs="Arial"/>
          <w:sz w:val="20"/>
          <w:szCs w:val="20"/>
        </w:rPr>
      </w:pPr>
      <w:r>
        <w:rPr>
          <w:rFonts w:ascii="Arial" w:hAnsi="Arial" w:cs="Arial"/>
          <w:sz w:val="20"/>
          <w:szCs w:val="20"/>
        </w:rPr>
        <w:t>NO APLICA</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widowControl w:val="0"/>
        <w:numPr>
          <w:ilvl w:val="0"/>
          <w:numId w:val="20"/>
        </w:numPr>
        <w:jc w:val="both"/>
        <w:rPr>
          <w:rFonts w:ascii="Arial" w:hAnsi="Arial" w:cs="Arial"/>
          <w:b/>
          <w:sz w:val="20"/>
          <w:szCs w:val="20"/>
        </w:rPr>
      </w:pPr>
      <w:r w:rsidRPr="0005478B">
        <w:rPr>
          <w:rFonts w:ascii="Arial" w:hAnsi="Arial" w:cs="Arial"/>
          <w:sz w:val="20"/>
          <w:szCs w:val="20"/>
        </w:rPr>
        <w:t xml:space="preserve"> </w:t>
      </w:r>
      <w:r w:rsidRPr="0005478B">
        <w:rPr>
          <w:rFonts w:ascii="Arial" w:hAnsi="Arial" w:cs="Arial"/>
          <w:b/>
          <w:sz w:val="20"/>
          <w:szCs w:val="20"/>
        </w:rPr>
        <w:t>Responsabilidad Sobre la Presentación Razonable de la Información Contable:</w:t>
      </w:r>
    </w:p>
    <w:p w:rsidR="00EA5D2D" w:rsidRPr="0005478B" w:rsidRDefault="00EA5D2D" w:rsidP="00EA5D2D">
      <w:pPr>
        <w:pStyle w:val="Prrafodelista"/>
        <w:jc w:val="both"/>
        <w:rPr>
          <w:rFonts w:ascii="Arial" w:hAnsi="Arial" w:cs="Arial"/>
          <w:sz w:val="20"/>
          <w:szCs w:val="20"/>
        </w:rPr>
      </w:pPr>
    </w:p>
    <w:p w:rsidR="00EA5D2D" w:rsidRPr="0005478B" w:rsidRDefault="00EA5D2D" w:rsidP="00EA5D2D">
      <w:pPr>
        <w:pStyle w:val="Prrafodelista"/>
        <w:jc w:val="both"/>
        <w:rPr>
          <w:rFonts w:ascii="Arial" w:hAnsi="Arial" w:cs="Arial"/>
          <w:sz w:val="20"/>
          <w:szCs w:val="20"/>
        </w:rPr>
      </w:pPr>
      <w:r w:rsidRPr="0005478B">
        <w:rPr>
          <w:rFonts w:ascii="Arial" w:hAnsi="Arial" w:cs="Arial"/>
          <w:sz w:val="20"/>
          <w:szCs w:val="20"/>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rsidR="00EA5D2D" w:rsidRPr="0005478B" w:rsidRDefault="00EA5D2D" w:rsidP="00EA5D2D">
      <w:pPr>
        <w:pStyle w:val="Prrafodelista"/>
        <w:jc w:val="both"/>
        <w:rPr>
          <w:rFonts w:ascii="Arial" w:hAnsi="Arial" w:cs="Arial"/>
          <w:sz w:val="20"/>
          <w:szCs w:val="20"/>
        </w:rPr>
      </w:pPr>
    </w:p>
    <w:p w:rsidR="00EA5D2D" w:rsidRPr="00C4412E" w:rsidRDefault="00EA5D2D" w:rsidP="00EA5D2D">
      <w:pPr>
        <w:spacing w:line="312" w:lineRule="auto"/>
        <w:contextualSpacing/>
        <w:jc w:val="center"/>
        <w:rPr>
          <w:rFonts w:ascii="Arial" w:hAnsi="Arial" w:cs="Arial"/>
          <w:b/>
          <w:szCs w:val="20"/>
          <w:u w:val="single"/>
        </w:rPr>
      </w:pPr>
    </w:p>
    <w:p w:rsidR="00EA5D2D" w:rsidRPr="00C979F2" w:rsidRDefault="00EA5D2D" w:rsidP="00EA5D2D">
      <w:pPr>
        <w:spacing w:line="312" w:lineRule="auto"/>
        <w:contextualSpacing/>
        <w:jc w:val="center"/>
        <w:rPr>
          <w:rFonts w:ascii="Arial" w:hAnsi="Arial" w:cs="Arial"/>
          <w:i/>
          <w:sz w:val="18"/>
          <w:szCs w:val="18"/>
        </w:rPr>
      </w:pPr>
      <w:r w:rsidRPr="00C4412E">
        <w:rPr>
          <w:rFonts w:ascii="Arial" w:hAnsi="Arial" w:cs="Arial"/>
          <w:b/>
          <w:i/>
          <w:sz w:val="20"/>
          <w:szCs w:val="18"/>
          <w:u w:val="single"/>
        </w:rPr>
        <w:t>“Bajo protesta de decir verdad declaramos que los Estados Financieros y sus notas, son razonablemente correctos y son responsabilidad del</w:t>
      </w:r>
      <w:r w:rsidRPr="007E6524">
        <w:rPr>
          <w:rFonts w:ascii="Arial" w:hAnsi="Arial" w:cs="Arial"/>
          <w:i/>
          <w:sz w:val="20"/>
          <w:szCs w:val="18"/>
        </w:rPr>
        <w:t xml:space="preserve"> </w:t>
      </w:r>
      <w:r w:rsidRPr="00C4412E">
        <w:rPr>
          <w:rFonts w:ascii="Arial" w:hAnsi="Arial" w:cs="Arial"/>
          <w:b/>
          <w:i/>
          <w:sz w:val="20"/>
          <w:szCs w:val="18"/>
          <w:u w:val="single"/>
        </w:rPr>
        <w:t>emisor”.</w:t>
      </w:r>
    </w:p>
    <w:p w:rsidR="00EA5D2D" w:rsidRPr="0005478B" w:rsidRDefault="00EA5D2D" w:rsidP="00EA5D2D">
      <w:pPr>
        <w:pStyle w:val="Prrafodelista"/>
        <w:jc w:val="both"/>
        <w:rPr>
          <w:rFonts w:ascii="Arial" w:hAnsi="Arial" w:cs="Arial"/>
          <w:sz w:val="20"/>
          <w:szCs w:val="20"/>
        </w:rPr>
      </w:pPr>
    </w:p>
    <w:p w:rsidR="00EA5D2D" w:rsidRPr="00333D34" w:rsidRDefault="00EA5D2D" w:rsidP="00EA5D2D">
      <w:pPr>
        <w:spacing w:line="240" w:lineRule="exact"/>
        <w:rPr>
          <w:rFonts w:ascii="Arial" w:hAnsi="Arial" w:cs="Arial"/>
          <w:b/>
          <w:sz w:val="20"/>
          <w:szCs w:val="20"/>
          <w:lang w:val="es-MX"/>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E23193" w:rsidP="001423F1">
      <w:pPr>
        <w:jc w:val="center"/>
        <w:rPr>
          <w:rFonts w:ascii="Arial" w:hAnsi="Arial" w:cs="Arial"/>
          <w:sz w:val="20"/>
          <w:szCs w:val="20"/>
        </w:rPr>
      </w:pPr>
      <w:r>
        <w:rPr>
          <w:noProof/>
          <w:lang w:val="es-MX" w:eastAsia="es-MX"/>
        </w:rPr>
        <w:drawing>
          <wp:inline distT="0" distB="0" distL="0" distR="0" wp14:anchorId="5DD33339" wp14:editId="0A610BEB">
            <wp:extent cx="8105775" cy="1143000"/>
            <wp:effectExtent l="0" t="0" r="9525" b="0"/>
            <wp:docPr id="66"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5775" cy="1143000"/>
                    </a:xfrm>
                    <a:prstGeom prst="rect">
                      <a:avLst/>
                    </a:prstGeom>
                    <a:noFill/>
                    <a:ln>
                      <a:noFill/>
                    </a:ln>
                  </pic:spPr>
                </pic:pic>
              </a:graphicData>
            </a:graphic>
          </wp:inline>
        </w:drawing>
      </w: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745B79" w:rsidRDefault="00745B79" w:rsidP="001423F1">
      <w:pPr>
        <w:jc w:val="center"/>
        <w:rPr>
          <w:rFonts w:ascii="Arial" w:hAnsi="Arial" w:cs="Arial"/>
          <w:sz w:val="20"/>
          <w:szCs w:val="20"/>
        </w:rPr>
      </w:pPr>
    </w:p>
    <w:p w:rsidR="00F07FAF" w:rsidRDefault="00F07FAF" w:rsidP="001423F1">
      <w:pPr>
        <w:jc w:val="center"/>
        <w:rPr>
          <w:rFonts w:ascii="Arial" w:hAnsi="Arial" w:cs="Arial"/>
          <w:sz w:val="20"/>
          <w:szCs w:val="20"/>
        </w:rPr>
      </w:pPr>
    </w:p>
    <w:sectPr w:rsidR="00F07FAF" w:rsidSect="00745B79">
      <w:headerReference w:type="even" r:id="rId11"/>
      <w:headerReference w:type="default" r:id="rId12"/>
      <w:footerReference w:type="even" r:id="rId13"/>
      <w:footerReference w:type="default" r:id="rId14"/>
      <w:headerReference w:type="first" r:id="rId15"/>
      <w:footerReference w:type="first" r:id="rId16"/>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253" w:rsidRDefault="00B91253" w:rsidP="00EA5418">
      <w:r>
        <w:separator/>
      </w:r>
    </w:p>
  </w:endnote>
  <w:endnote w:type="continuationSeparator" w:id="0">
    <w:p w:rsidR="00B91253" w:rsidRDefault="00B91253"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6BEBE523" wp14:editId="53C2631B">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34CF4FF"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FA6F28">
          <w:rPr>
            <w:rFonts w:ascii="Arial" w:hAnsi="Arial" w:cs="Arial"/>
            <w:noProof/>
            <w:color w:val="808080" w:themeColor="background1" w:themeShade="80"/>
            <w:sz w:val="20"/>
            <w:szCs w:val="20"/>
          </w:rPr>
          <w:t>2</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360D228" wp14:editId="146B3016">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B984867"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FA6F28">
          <w:rPr>
            <w:rFonts w:ascii="Arial" w:hAnsi="Arial" w:cs="Arial"/>
            <w:noProof/>
            <w:color w:val="808080" w:themeColor="background1" w:themeShade="80"/>
            <w:sz w:val="20"/>
            <w:szCs w:val="20"/>
          </w:rPr>
          <w:t>3</w:t>
        </w:r>
        <w:r w:rsidR="00417817" w:rsidRPr="00584484">
          <w:rPr>
            <w:rFonts w:ascii="Arial" w:hAnsi="Arial" w:cs="Arial"/>
            <w:color w:val="808080" w:themeColor="background1" w:themeShade="80"/>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03" w:rsidRDefault="000452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253" w:rsidRDefault="00B91253" w:rsidP="00EA5418">
      <w:r>
        <w:separator/>
      </w:r>
    </w:p>
  </w:footnote>
  <w:footnote w:type="continuationSeparator" w:id="0">
    <w:p w:rsidR="00B91253" w:rsidRDefault="00B91253"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Default="00245B10"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14:anchorId="06411BD6" wp14:editId="0AD58BAE">
              <wp:simplePos x="0" y="0"/>
              <wp:positionH relativeFrom="column">
                <wp:posOffset>1941830</wp:posOffset>
              </wp:positionH>
              <wp:positionV relativeFrom="paragraph">
                <wp:posOffset>-265430</wp:posOffset>
              </wp:positionV>
              <wp:extent cx="2767330" cy="4273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19B" w:rsidRPr="00584484" w:rsidRDefault="004E119B" w:rsidP="004E119B">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INFORMACIÓN FINANCIERA</w:t>
                          </w:r>
                        </w:p>
                        <w:p w:rsidR="004E119B" w:rsidRPr="00410C0A" w:rsidRDefault="004E119B" w:rsidP="004E119B">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4E119B" w:rsidP="004E119B">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TRIMESTRAL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11BD6" id="_x0000_t202" coordsize="21600,21600" o:spt="202" path="m,l,21600r21600,l21600,xe">
              <v:stroke joinstyle="miter"/>
              <v:path gradientshapeok="t" o:connecttype="rect"/>
            </v:shapetype>
            <v:shape id="Cuadro de texto 6" o:spid="_x0000_s1026" type="#_x0000_t202" style="position:absolute;margin-left:152.9pt;margin-top:-20.9pt;width:217.9pt;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94iAIAABY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" stroked="f">
              <v:textbox>
                <w:txbxContent>
                  <w:p w:rsidR="004E119B" w:rsidRPr="00584484" w:rsidRDefault="004E119B" w:rsidP="004E119B">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INFORMACIÓN FINANCIERA</w:t>
                    </w:r>
                  </w:p>
                  <w:p w:rsidR="004E119B" w:rsidRPr="00410C0A" w:rsidRDefault="004E119B" w:rsidP="004E119B">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4E119B" w:rsidP="004E119B">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TRIMESTRAL</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14:anchorId="56ED15BC" wp14:editId="6067B96B">
              <wp:simplePos x="0" y="0"/>
              <wp:positionH relativeFrom="column">
                <wp:posOffset>4657725</wp:posOffset>
              </wp:positionH>
              <wp:positionV relativeFrom="paragraph">
                <wp:posOffset>-195580</wp:posOffset>
              </wp:positionV>
              <wp:extent cx="838835"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B10" w:rsidRPr="00E9097D" w:rsidRDefault="00245B1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w:t>
                          </w:r>
                          <w:r w:rsidR="004E119B">
                            <w:rPr>
                              <w:rFonts w:ascii="Arial" w:hAnsi="Arial" w:cs="Arial"/>
                              <w:color w:val="808080" w:themeColor="background1" w:themeShade="80"/>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D15BC" id="Cuadro de texto 5" o:spid="_x0000_s1027"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" stroked="f">
              <v:textbox>
                <w:txbxContent>
                  <w:p w:rsidR="00245B10" w:rsidRPr="00E9097D" w:rsidRDefault="00245B1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w:t>
                    </w:r>
                    <w:r w:rsidR="004E119B">
                      <w:rPr>
                        <w:rFonts w:ascii="Arial" w:hAnsi="Arial" w:cs="Arial"/>
                        <w:color w:val="808080" w:themeColor="background1" w:themeShade="80"/>
                        <w:sz w:val="32"/>
                        <w:szCs w:val="32"/>
                      </w:rPr>
                      <w:t>1</w:t>
                    </w: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14F6701C" wp14:editId="4D379CD7">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60828B3"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7D16CA" w:rsidRDefault="002177CB"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4624" behindDoc="0" locked="0" layoutInCell="1" allowOverlap="1" wp14:anchorId="431690C0" wp14:editId="53BBEFD0">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02EDED3" id="Line 2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mc:Fallback>
      </mc:AlternateContent>
    </w:r>
    <w:r w:rsidR="001814E1">
      <w:rPr>
        <w:rFonts w:ascii="Arial" w:hAnsi="Arial" w:cs="Arial"/>
        <w:color w:val="808080" w:themeColor="background1" w:themeShade="80"/>
        <w:sz w:val="20"/>
        <w:szCs w:val="20"/>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03" w:rsidRDefault="000452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58420C"/>
    <w:multiLevelType w:val="hybridMultilevel"/>
    <w:tmpl w:val="66761BF0"/>
    <w:lvl w:ilvl="0" w:tplc="0E00740C">
      <w:start w:val="1"/>
      <w:numFmt w:val="lowerLetter"/>
      <w:lvlText w:val="%1)"/>
      <w:lvlJc w:val="left"/>
      <w:pPr>
        <w:ind w:left="1500" w:hanging="4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CE6644"/>
    <w:multiLevelType w:val="hybridMultilevel"/>
    <w:tmpl w:val="96D865B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8AC071B"/>
    <w:multiLevelType w:val="hybridMultilevel"/>
    <w:tmpl w:val="B2D40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4D5A8B"/>
    <w:multiLevelType w:val="hybridMultilevel"/>
    <w:tmpl w:val="6CC41926"/>
    <w:lvl w:ilvl="0" w:tplc="5526F82C">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7" w15:restartNumberingAfterBreak="0">
    <w:nsid w:val="2BE820D9"/>
    <w:multiLevelType w:val="hybridMultilevel"/>
    <w:tmpl w:val="A934D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95C4A9E"/>
    <w:multiLevelType w:val="hybridMultilevel"/>
    <w:tmpl w:val="9C587340"/>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93D4185"/>
    <w:multiLevelType w:val="hybridMultilevel"/>
    <w:tmpl w:val="B25E737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5C9A4293"/>
    <w:multiLevelType w:val="hybridMultilevel"/>
    <w:tmpl w:val="502E85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64A7C1F"/>
    <w:multiLevelType w:val="hybridMultilevel"/>
    <w:tmpl w:val="B8924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F75BD3"/>
    <w:multiLevelType w:val="hybridMultilevel"/>
    <w:tmpl w:val="F3E42FC4"/>
    <w:lvl w:ilvl="0" w:tplc="30C681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01828C0"/>
    <w:multiLevelType w:val="hybridMultilevel"/>
    <w:tmpl w:val="7916AA6E"/>
    <w:lvl w:ilvl="0" w:tplc="29B6B9A4">
      <w:start w:val="1"/>
      <w:numFmt w:val="lowerLetter"/>
      <w:lvlText w:val="%1)"/>
      <w:lvlJc w:val="left"/>
      <w:pPr>
        <w:ind w:left="1494" w:hanging="36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19" w15:restartNumberingAfterBreak="0">
    <w:nsid w:val="73332BC0"/>
    <w:multiLevelType w:val="hybridMultilevel"/>
    <w:tmpl w:val="25F22CA8"/>
    <w:lvl w:ilvl="0" w:tplc="585C48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90D3AF6"/>
    <w:multiLevelType w:val="hybridMultilevel"/>
    <w:tmpl w:val="7264E05A"/>
    <w:lvl w:ilvl="0" w:tplc="D012FB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98961C2"/>
    <w:multiLevelType w:val="hybridMultilevel"/>
    <w:tmpl w:val="D3D076D0"/>
    <w:lvl w:ilvl="0" w:tplc="B4D60862">
      <w:start w:val="1"/>
      <w:numFmt w:val="lowerLetter"/>
      <w:lvlText w:val="%1)"/>
      <w:lvlJc w:val="left"/>
      <w:pPr>
        <w:ind w:left="1260" w:hanging="5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9"/>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8"/>
  </w:num>
  <w:num w:numId="9">
    <w:abstractNumId w:val="19"/>
  </w:num>
  <w:num w:numId="10">
    <w:abstractNumId w:val="14"/>
  </w:num>
  <w:num w:numId="11">
    <w:abstractNumId w:val="20"/>
  </w:num>
  <w:num w:numId="12">
    <w:abstractNumId w:val="1"/>
  </w:num>
  <w:num w:numId="13">
    <w:abstractNumId w:val="15"/>
  </w:num>
  <w:num w:numId="14">
    <w:abstractNumId w:val="18"/>
  </w:num>
  <w:num w:numId="15">
    <w:abstractNumId w:val="3"/>
  </w:num>
  <w:num w:numId="16">
    <w:abstractNumId w:val="17"/>
  </w:num>
  <w:num w:numId="17">
    <w:abstractNumId w:val="4"/>
  </w:num>
  <w:num w:numId="18">
    <w:abstractNumId w:val="10"/>
  </w:num>
  <w:num w:numId="19">
    <w:abstractNumId w:val="21"/>
  </w:num>
  <w:num w:numId="20">
    <w:abstractNumId w:val="7"/>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3241"/>
    <w:rsid w:val="00026D17"/>
    <w:rsid w:val="000311D4"/>
    <w:rsid w:val="00031801"/>
    <w:rsid w:val="000355E9"/>
    <w:rsid w:val="00040466"/>
    <w:rsid w:val="0004218E"/>
    <w:rsid w:val="00045203"/>
    <w:rsid w:val="0005062F"/>
    <w:rsid w:val="00051ECA"/>
    <w:rsid w:val="00054908"/>
    <w:rsid w:val="00054E60"/>
    <w:rsid w:val="00056042"/>
    <w:rsid w:val="00060858"/>
    <w:rsid w:val="00061A86"/>
    <w:rsid w:val="00062DBE"/>
    <w:rsid w:val="00094277"/>
    <w:rsid w:val="000963D2"/>
    <w:rsid w:val="00097AB0"/>
    <w:rsid w:val="000A4BED"/>
    <w:rsid w:val="000A6167"/>
    <w:rsid w:val="000A669D"/>
    <w:rsid w:val="000B3C7C"/>
    <w:rsid w:val="000B489A"/>
    <w:rsid w:val="000C2B2E"/>
    <w:rsid w:val="000C4654"/>
    <w:rsid w:val="000D5FBB"/>
    <w:rsid w:val="000E1254"/>
    <w:rsid w:val="000E5608"/>
    <w:rsid w:val="000F22A6"/>
    <w:rsid w:val="000F5D09"/>
    <w:rsid w:val="0010245D"/>
    <w:rsid w:val="00106804"/>
    <w:rsid w:val="00107A57"/>
    <w:rsid w:val="00114238"/>
    <w:rsid w:val="00114DE7"/>
    <w:rsid w:val="00120FC0"/>
    <w:rsid w:val="0012194C"/>
    <w:rsid w:val="00121C91"/>
    <w:rsid w:val="00121F3F"/>
    <w:rsid w:val="00125A9B"/>
    <w:rsid w:val="00126634"/>
    <w:rsid w:val="0013011C"/>
    <w:rsid w:val="00136010"/>
    <w:rsid w:val="00137B35"/>
    <w:rsid w:val="001423F1"/>
    <w:rsid w:val="001439FE"/>
    <w:rsid w:val="00145121"/>
    <w:rsid w:val="00153A59"/>
    <w:rsid w:val="0015606C"/>
    <w:rsid w:val="00161F91"/>
    <w:rsid w:val="001646D9"/>
    <w:rsid w:val="00165757"/>
    <w:rsid w:val="00165BF7"/>
    <w:rsid w:val="00174A37"/>
    <w:rsid w:val="001814E1"/>
    <w:rsid w:val="00184B82"/>
    <w:rsid w:val="001853A4"/>
    <w:rsid w:val="001908EA"/>
    <w:rsid w:val="001A05C7"/>
    <w:rsid w:val="001A6FC3"/>
    <w:rsid w:val="001B0D37"/>
    <w:rsid w:val="001B0EC5"/>
    <w:rsid w:val="001B1B72"/>
    <w:rsid w:val="001B262F"/>
    <w:rsid w:val="001B71C9"/>
    <w:rsid w:val="001B7806"/>
    <w:rsid w:val="001C0F11"/>
    <w:rsid w:val="001C5386"/>
    <w:rsid w:val="001C73F2"/>
    <w:rsid w:val="001D0B43"/>
    <w:rsid w:val="001D36FA"/>
    <w:rsid w:val="001D77CF"/>
    <w:rsid w:val="001E00C6"/>
    <w:rsid w:val="001E0675"/>
    <w:rsid w:val="001E3B9D"/>
    <w:rsid w:val="001E7F9E"/>
    <w:rsid w:val="001F620C"/>
    <w:rsid w:val="0020044A"/>
    <w:rsid w:val="00201611"/>
    <w:rsid w:val="002043BD"/>
    <w:rsid w:val="0020643A"/>
    <w:rsid w:val="002073FD"/>
    <w:rsid w:val="00215CC6"/>
    <w:rsid w:val="002177CB"/>
    <w:rsid w:val="00217EA0"/>
    <w:rsid w:val="00227E0F"/>
    <w:rsid w:val="00245B10"/>
    <w:rsid w:val="00246794"/>
    <w:rsid w:val="002530B9"/>
    <w:rsid w:val="00253AB1"/>
    <w:rsid w:val="0025714C"/>
    <w:rsid w:val="0026216E"/>
    <w:rsid w:val="00262E4D"/>
    <w:rsid w:val="0026420C"/>
    <w:rsid w:val="0026488C"/>
    <w:rsid w:val="00266491"/>
    <w:rsid w:val="00284168"/>
    <w:rsid w:val="002864BC"/>
    <w:rsid w:val="0028780C"/>
    <w:rsid w:val="002906E8"/>
    <w:rsid w:val="00293A60"/>
    <w:rsid w:val="002A70B3"/>
    <w:rsid w:val="002B6BA9"/>
    <w:rsid w:val="002D2737"/>
    <w:rsid w:val="002D7B66"/>
    <w:rsid w:val="002E038A"/>
    <w:rsid w:val="002E3600"/>
    <w:rsid w:val="002E7A4E"/>
    <w:rsid w:val="002F307F"/>
    <w:rsid w:val="002F7F38"/>
    <w:rsid w:val="00300A8C"/>
    <w:rsid w:val="00307635"/>
    <w:rsid w:val="003079BC"/>
    <w:rsid w:val="0031392B"/>
    <w:rsid w:val="00313B32"/>
    <w:rsid w:val="0032547C"/>
    <w:rsid w:val="0032782B"/>
    <w:rsid w:val="0033464B"/>
    <w:rsid w:val="003364E9"/>
    <w:rsid w:val="003502F3"/>
    <w:rsid w:val="00355821"/>
    <w:rsid w:val="003610E0"/>
    <w:rsid w:val="003702C1"/>
    <w:rsid w:val="00370B66"/>
    <w:rsid w:val="00372F40"/>
    <w:rsid w:val="00375A8C"/>
    <w:rsid w:val="00381099"/>
    <w:rsid w:val="003820CA"/>
    <w:rsid w:val="00394920"/>
    <w:rsid w:val="003A0375"/>
    <w:rsid w:val="003A0EE2"/>
    <w:rsid w:val="003A1276"/>
    <w:rsid w:val="003C0908"/>
    <w:rsid w:val="003D0FBA"/>
    <w:rsid w:val="003D5DBF"/>
    <w:rsid w:val="003E7FD0"/>
    <w:rsid w:val="003F0392"/>
    <w:rsid w:val="00410AF3"/>
    <w:rsid w:val="00410C0A"/>
    <w:rsid w:val="0041268A"/>
    <w:rsid w:val="00412705"/>
    <w:rsid w:val="00412EB1"/>
    <w:rsid w:val="00414245"/>
    <w:rsid w:val="00417817"/>
    <w:rsid w:val="00426E16"/>
    <w:rsid w:val="00432BF7"/>
    <w:rsid w:val="0044253C"/>
    <w:rsid w:val="004427A8"/>
    <w:rsid w:val="00442BD3"/>
    <w:rsid w:val="004437A5"/>
    <w:rsid w:val="00444A3D"/>
    <w:rsid w:val="00462F48"/>
    <w:rsid w:val="0046612F"/>
    <w:rsid w:val="00467610"/>
    <w:rsid w:val="0047223C"/>
    <w:rsid w:val="00472597"/>
    <w:rsid w:val="00473EA6"/>
    <w:rsid w:val="00481BB6"/>
    <w:rsid w:val="00486AE1"/>
    <w:rsid w:val="004903C7"/>
    <w:rsid w:val="004915D1"/>
    <w:rsid w:val="00491EDD"/>
    <w:rsid w:val="004939F2"/>
    <w:rsid w:val="00493FA8"/>
    <w:rsid w:val="00495751"/>
    <w:rsid w:val="00497D8B"/>
    <w:rsid w:val="004B01D6"/>
    <w:rsid w:val="004B284E"/>
    <w:rsid w:val="004B5E75"/>
    <w:rsid w:val="004B6537"/>
    <w:rsid w:val="004D0E00"/>
    <w:rsid w:val="004D41B8"/>
    <w:rsid w:val="004D4F5D"/>
    <w:rsid w:val="004E119B"/>
    <w:rsid w:val="004F09C0"/>
    <w:rsid w:val="004F29CC"/>
    <w:rsid w:val="004F50D8"/>
    <w:rsid w:val="004F6955"/>
    <w:rsid w:val="00502D8E"/>
    <w:rsid w:val="005033CB"/>
    <w:rsid w:val="00506351"/>
    <w:rsid w:val="005117F4"/>
    <w:rsid w:val="00516D35"/>
    <w:rsid w:val="00522632"/>
    <w:rsid w:val="00524746"/>
    <w:rsid w:val="00531310"/>
    <w:rsid w:val="00534982"/>
    <w:rsid w:val="00540418"/>
    <w:rsid w:val="00567E46"/>
    <w:rsid w:val="005706D9"/>
    <w:rsid w:val="00571D76"/>
    <w:rsid w:val="00572656"/>
    <w:rsid w:val="00572976"/>
    <w:rsid w:val="00582405"/>
    <w:rsid w:val="00584484"/>
    <w:rsid w:val="005855FA"/>
    <w:rsid w:val="005859FA"/>
    <w:rsid w:val="00596CFC"/>
    <w:rsid w:val="005A371E"/>
    <w:rsid w:val="005B1D10"/>
    <w:rsid w:val="005B6522"/>
    <w:rsid w:val="005D2601"/>
    <w:rsid w:val="005D63B6"/>
    <w:rsid w:val="005F38CB"/>
    <w:rsid w:val="006046CA"/>
    <w:rsid w:val="006048D2"/>
    <w:rsid w:val="00611E39"/>
    <w:rsid w:val="006133D2"/>
    <w:rsid w:val="00620E8D"/>
    <w:rsid w:val="00624AF0"/>
    <w:rsid w:val="00633237"/>
    <w:rsid w:val="00636BC8"/>
    <w:rsid w:val="006371E0"/>
    <w:rsid w:val="006407C6"/>
    <w:rsid w:val="00640E11"/>
    <w:rsid w:val="006429CD"/>
    <w:rsid w:val="006453C1"/>
    <w:rsid w:val="0065283C"/>
    <w:rsid w:val="00656FD3"/>
    <w:rsid w:val="00661772"/>
    <w:rsid w:val="00662E1A"/>
    <w:rsid w:val="00664EA2"/>
    <w:rsid w:val="00665222"/>
    <w:rsid w:val="006668AF"/>
    <w:rsid w:val="00676D1E"/>
    <w:rsid w:val="006816C8"/>
    <w:rsid w:val="006817A5"/>
    <w:rsid w:val="00682DA8"/>
    <w:rsid w:val="00684AF3"/>
    <w:rsid w:val="006A0B2C"/>
    <w:rsid w:val="006A5650"/>
    <w:rsid w:val="006A605D"/>
    <w:rsid w:val="006B16E7"/>
    <w:rsid w:val="006B729B"/>
    <w:rsid w:val="006C03CB"/>
    <w:rsid w:val="006C3DC5"/>
    <w:rsid w:val="006C5F52"/>
    <w:rsid w:val="006D350A"/>
    <w:rsid w:val="006D75D6"/>
    <w:rsid w:val="006E0202"/>
    <w:rsid w:val="006E6ABC"/>
    <w:rsid w:val="006E6B8E"/>
    <w:rsid w:val="006E77DD"/>
    <w:rsid w:val="006F01D2"/>
    <w:rsid w:val="006F6105"/>
    <w:rsid w:val="006F655F"/>
    <w:rsid w:val="007147F1"/>
    <w:rsid w:val="00725769"/>
    <w:rsid w:val="007303FB"/>
    <w:rsid w:val="00732C21"/>
    <w:rsid w:val="00735303"/>
    <w:rsid w:val="00735C8C"/>
    <w:rsid w:val="00737CE6"/>
    <w:rsid w:val="00740458"/>
    <w:rsid w:val="007415E8"/>
    <w:rsid w:val="0074343E"/>
    <w:rsid w:val="00745B79"/>
    <w:rsid w:val="007626C3"/>
    <w:rsid w:val="007716F2"/>
    <w:rsid w:val="00772D11"/>
    <w:rsid w:val="00776082"/>
    <w:rsid w:val="007811CB"/>
    <w:rsid w:val="00781278"/>
    <w:rsid w:val="0078139D"/>
    <w:rsid w:val="00785232"/>
    <w:rsid w:val="00786975"/>
    <w:rsid w:val="00794F06"/>
    <w:rsid w:val="0079582C"/>
    <w:rsid w:val="007A2E66"/>
    <w:rsid w:val="007A4AC0"/>
    <w:rsid w:val="007A5C35"/>
    <w:rsid w:val="007B1A84"/>
    <w:rsid w:val="007B4655"/>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35131"/>
    <w:rsid w:val="00842599"/>
    <w:rsid w:val="00843840"/>
    <w:rsid w:val="008637C1"/>
    <w:rsid w:val="00866DC7"/>
    <w:rsid w:val="008859A1"/>
    <w:rsid w:val="008913A9"/>
    <w:rsid w:val="00893945"/>
    <w:rsid w:val="008976A3"/>
    <w:rsid w:val="008A4166"/>
    <w:rsid w:val="008A6E4D"/>
    <w:rsid w:val="008B0017"/>
    <w:rsid w:val="008B6109"/>
    <w:rsid w:val="008D4272"/>
    <w:rsid w:val="008E2E54"/>
    <w:rsid w:val="008E3652"/>
    <w:rsid w:val="008E38D7"/>
    <w:rsid w:val="008F2BC9"/>
    <w:rsid w:val="008F471B"/>
    <w:rsid w:val="00900209"/>
    <w:rsid w:val="00905558"/>
    <w:rsid w:val="009133A2"/>
    <w:rsid w:val="009206EA"/>
    <w:rsid w:val="0093047D"/>
    <w:rsid w:val="00932E78"/>
    <w:rsid w:val="009478B4"/>
    <w:rsid w:val="00956F64"/>
    <w:rsid w:val="0096474B"/>
    <w:rsid w:val="00970701"/>
    <w:rsid w:val="00976B3A"/>
    <w:rsid w:val="00980ECB"/>
    <w:rsid w:val="00982A1D"/>
    <w:rsid w:val="00985404"/>
    <w:rsid w:val="0099048E"/>
    <w:rsid w:val="009909AB"/>
    <w:rsid w:val="00994457"/>
    <w:rsid w:val="009A1108"/>
    <w:rsid w:val="009C1CD1"/>
    <w:rsid w:val="009C47DB"/>
    <w:rsid w:val="009C54BF"/>
    <w:rsid w:val="009C721E"/>
    <w:rsid w:val="009C7BB0"/>
    <w:rsid w:val="009E60D5"/>
    <w:rsid w:val="009F1266"/>
    <w:rsid w:val="00A04795"/>
    <w:rsid w:val="00A04974"/>
    <w:rsid w:val="00A0752F"/>
    <w:rsid w:val="00A10E8A"/>
    <w:rsid w:val="00A14B74"/>
    <w:rsid w:val="00A16E67"/>
    <w:rsid w:val="00A24B5C"/>
    <w:rsid w:val="00A25A64"/>
    <w:rsid w:val="00A274CF"/>
    <w:rsid w:val="00A30168"/>
    <w:rsid w:val="00A31BF9"/>
    <w:rsid w:val="00A51FB6"/>
    <w:rsid w:val="00A52E01"/>
    <w:rsid w:val="00A670FB"/>
    <w:rsid w:val="00A711D8"/>
    <w:rsid w:val="00A770CC"/>
    <w:rsid w:val="00A81B34"/>
    <w:rsid w:val="00A83BD1"/>
    <w:rsid w:val="00A85ECC"/>
    <w:rsid w:val="00A911BD"/>
    <w:rsid w:val="00A9198F"/>
    <w:rsid w:val="00A92BF9"/>
    <w:rsid w:val="00A95B12"/>
    <w:rsid w:val="00AA1C51"/>
    <w:rsid w:val="00AA5F6B"/>
    <w:rsid w:val="00AB13B7"/>
    <w:rsid w:val="00AB1994"/>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F253A"/>
    <w:rsid w:val="00AF2C80"/>
    <w:rsid w:val="00AF589F"/>
    <w:rsid w:val="00B07C17"/>
    <w:rsid w:val="00B16297"/>
    <w:rsid w:val="00B17423"/>
    <w:rsid w:val="00B21FCF"/>
    <w:rsid w:val="00B326B0"/>
    <w:rsid w:val="00B35A7E"/>
    <w:rsid w:val="00B400BD"/>
    <w:rsid w:val="00B42A02"/>
    <w:rsid w:val="00B42BF0"/>
    <w:rsid w:val="00B45913"/>
    <w:rsid w:val="00B5759C"/>
    <w:rsid w:val="00B61B23"/>
    <w:rsid w:val="00B65FA7"/>
    <w:rsid w:val="00B72E45"/>
    <w:rsid w:val="00B76771"/>
    <w:rsid w:val="00B849EE"/>
    <w:rsid w:val="00B902CF"/>
    <w:rsid w:val="00B903D2"/>
    <w:rsid w:val="00B91253"/>
    <w:rsid w:val="00B93254"/>
    <w:rsid w:val="00B97D6F"/>
    <w:rsid w:val="00BA5834"/>
    <w:rsid w:val="00BA602C"/>
    <w:rsid w:val="00BB3039"/>
    <w:rsid w:val="00BB6926"/>
    <w:rsid w:val="00BB6BB8"/>
    <w:rsid w:val="00BC11BA"/>
    <w:rsid w:val="00BC16AF"/>
    <w:rsid w:val="00BD1C57"/>
    <w:rsid w:val="00BD5C94"/>
    <w:rsid w:val="00BF7CA4"/>
    <w:rsid w:val="00C1375F"/>
    <w:rsid w:val="00C15B56"/>
    <w:rsid w:val="00C20B56"/>
    <w:rsid w:val="00C2252C"/>
    <w:rsid w:val="00C2262F"/>
    <w:rsid w:val="00C22F80"/>
    <w:rsid w:val="00C269AE"/>
    <w:rsid w:val="00C31117"/>
    <w:rsid w:val="00C32634"/>
    <w:rsid w:val="00C32B96"/>
    <w:rsid w:val="00C41566"/>
    <w:rsid w:val="00C44F01"/>
    <w:rsid w:val="00C55772"/>
    <w:rsid w:val="00C558A9"/>
    <w:rsid w:val="00C56A30"/>
    <w:rsid w:val="00C57B0A"/>
    <w:rsid w:val="00C65D40"/>
    <w:rsid w:val="00C662F3"/>
    <w:rsid w:val="00C73ED8"/>
    <w:rsid w:val="00C80A56"/>
    <w:rsid w:val="00C83BE6"/>
    <w:rsid w:val="00C929C8"/>
    <w:rsid w:val="00C9309B"/>
    <w:rsid w:val="00C95417"/>
    <w:rsid w:val="00CA2D37"/>
    <w:rsid w:val="00CA5468"/>
    <w:rsid w:val="00CB1CEC"/>
    <w:rsid w:val="00CB4256"/>
    <w:rsid w:val="00CB4450"/>
    <w:rsid w:val="00CC2455"/>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51261"/>
    <w:rsid w:val="00D643E6"/>
    <w:rsid w:val="00D71401"/>
    <w:rsid w:val="00D748D3"/>
    <w:rsid w:val="00D752A7"/>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11110"/>
    <w:rsid w:val="00E1150D"/>
    <w:rsid w:val="00E11D83"/>
    <w:rsid w:val="00E13FEA"/>
    <w:rsid w:val="00E15B6E"/>
    <w:rsid w:val="00E23193"/>
    <w:rsid w:val="00E24C87"/>
    <w:rsid w:val="00E309F3"/>
    <w:rsid w:val="00E32708"/>
    <w:rsid w:val="00E3623C"/>
    <w:rsid w:val="00E37828"/>
    <w:rsid w:val="00E42847"/>
    <w:rsid w:val="00E622A9"/>
    <w:rsid w:val="00E64A6D"/>
    <w:rsid w:val="00E74945"/>
    <w:rsid w:val="00E87BBE"/>
    <w:rsid w:val="00E9097D"/>
    <w:rsid w:val="00EA1039"/>
    <w:rsid w:val="00EA3C5D"/>
    <w:rsid w:val="00EA5418"/>
    <w:rsid w:val="00EA5D2D"/>
    <w:rsid w:val="00EB0CAB"/>
    <w:rsid w:val="00EB1F1F"/>
    <w:rsid w:val="00EC185F"/>
    <w:rsid w:val="00EC4315"/>
    <w:rsid w:val="00ED08C8"/>
    <w:rsid w:val="00ED7A80"/>
    <w:rsid w:val="00ED7B94"/>
    <w:rsid w:val="00EE10DE"/>
    <w:rsid w:val="00EE14F0"/>
    <w:rsid w:val="00EE1674"/>
    <w:rsid w:val="00EE393F"/>
    <w:rsid w:val="00F00B08"/>
    <w:rsid w:val="00F04A31"/>
    <w:rsid w:val="00F04AA3"/>
    <w:rsid w:val="00F077A8"/>
    <w:rsid w:val="00F07FAF"/>
    <w:rsid w:val="00F17883"/>
    <w:rsid w:val="00F22101"/>
    <w:rsid w:val="00F2569F"/>
    <w:rsid w:val="00F345F1"/>
    <w:rsid w:val="00F37607"/>
    <w:rsid w:val="00F428F5"/>
    <w:rsid w:val="00F545E2"/>
    <w:rsid w:val="00F65B80"/>
    <w:rsid w:val="00F664E4"/>
    <w:rsid w:val="00F743A5"/>
    <w:rsid w:val="00F75E8F"/>
    <w:rsid w:val="00F9018A"/>
    <w:rsid w:val="00F92B59"/>
    <w:rsid w:val="00F94A6A"/>
    <w:rsid w:val="00F96944"/>
    <w:rsid w:val="00FA6F28"/>
    <w:rsid w:val="00FB3BFF"/>
    <w:rsid w:val="00FB63B3"/>
    <w:rsid w:val="00FC2D71"/>
    <w:rsid w:val="00FC30C2"/>
    <w:rsid w:val="00FC38BC"/>
    <w:rsid w:val="00FC43EB"/>
    <w:rsid w:val="00FC4656"/>
    <w:rsid w:val="00FC49D9"/>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A7731-EEAD-4ABC-8BED-A0517BF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Puesto">
    <w:name w:val="Title"/>
    <w:basedOn w:val="Normal"/>
    <w:link w:val="PuestoCar"/>
    <w:uiPriority w:val="99"/>
    <w:qFormat/>
    <w:rsid w:val="00184B82"/>
    <w:pPr>
      <w:jc w:val="center"/>
    </w:pPr>
    <w:rPr>
      <w:rFonts w:ascii="Helvetica" w:hAnsi="Helvetica"/>
      <w:b/>
      <w:bCs/>
      <w:sz w:val="28"/>
    </w:rPr>
  </w:style>
  <w:style w:type="character" w:customStyle="1" w:styleId="PuestoCar">
    <w:name w:val="Puesto Car"/>
    <w:basedOn w:val="Fuentedeprrafopredeter"/>
    <w:link w:val="Puest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iPriority w:val="99"/>
    <w:semiHidden/>
    <w:unhideWhenUsed/>
    <w:rsid w:val="00EA5D2D"/>
    <w:pPr>
      <w:spacing w:before="100" w:beforeAutospacing="1" w:after="100" w:afterAutospacing="1"/>
    </w:pPr>
    <w:rPr>
      <w:lang w:val="es-MX" w:eastAsia="es-MX"/>
    </w:rPr>
  </w:style>
  <w:style w:type="paragraph" w:styleId="Sinespaciado">
    <w:name w:val="No Spacing"/>
    <w:uiPriority w:val="1"/>
    <w:qFormat/>
    <w:rsid w:val="00EA5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63553331">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813520147">
      <w:bodyDiv w:val="1"/>
      <w:marLeft w:val="0"/>
      <w:marRight w:val="0"/>
      <w:marTop w:val="0"/>
      <w:marBottom w:val="0"/>
      <w:divBdr>
        <w:top w:val="none" w:sz="0" w:space="0" w:color="auto"/>
        <w:left w:val="none" w:sz="0" w:space="0" w:color="auto"/>
        <w:bottom w:val="none" w:sz="0" w:space="0" w:color="auto"/>
        <w:right w:val="none" w:sz="0" w:space="0" w:color="auto"/>
      </w:divBdr>
    </w:div>
    <w:div w:id="1023164206">
      <w:bodyDiv w:val="1"/>
      <w:marLeft w:val="0"/>
      <w:marRight w:val="0"/>
      <w:marTop w:val="0"/>
      <w:marBottom w:val="0"/>
      <w:divBdr>
        <w:top w:val="none" w:sz="0" w:space="0" w:color="auto"/>
        <w:left w:val="none" w:sz="0" w:space="0" w:color="auto"/>
        <w:bottom w:val="none" w:sz="0" w:space="0" w:color="auto"/>
        <w:right w:val="none" w:sz="0" w:space="0" w:color="auto"/>
      </w:divBdr>
    </w:div>
    <w:div w:id="12701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ibujo_de_Microsoft_Visio11111111111.vsdx"/><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7856-2772-47E5-A63B-B05CEDA0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1996</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Eva Patricia Gomez A</cp:lastModifiedBy>
  <cp:revision>33</cp:revision>
  <cp:lastPrinted>2021-01-26T15:24:00Z</cp:lastPrinted>
  <dcterms:created xsi:type="dcterms:W3CDTF">2020-01-09T21:22:00Z</dcterms:created>
  <dcterms:modified xsi:type="dcterms:W3CDTF">2021-04-29T16:23:00Z</dcterms:modified>
</cp:coreProperties>
</file>